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9B74" w14:textId="197C0C42" w:rsidR="004E3EAD" w:rsidRDefault="0097428D" w:rsidP="00D24570">
      <w:pPr>
        <w:pStyle w:val="Default"/>
        <w:tabs>
          <w:tab w:val="left" w:pos="220"/>
          <w:tab w:val="left" w:pos="720"/>
        </w:tabs>
        <w:ind w:left="720" w:hanging="720"/>
        <w:rPr>
          <w:rFonts w:ascii="Times New Roman" w:hAnsi="Times New Roman"/>
          <w:b/>
          <w:color w:val="323232"/>
          <w:sz w:val="24"/>
          <w:szCs w:val="24"/>
        </w:rPr>
      </w:pPr>
      <w:r w:rsidRPr="009C21FC">
        <w:rPr>
          <w:rFonts w:ascii="Times New Roman" w:hAnsi="Times New Roman"/>
          <w:b/>
          <w:bCs/>
          <w:color w:val="323232"/>
          <w:sz w:val="24"/>
          <w:szCs w:val="24"/>
        </w:rPr>
        <w:t>Policy Brief</w:t>
      </w:r>
      <w:r w:rsidR="001E2FF3">
        <w:rPr>
          <w:rFonts w:ascii="Times New Roman" w:hAnsi="Times New Roman"/>
          <w:b/>
          <w:bCs/>
          <w:color w:val="323232"/>
          <w:sz w:val="24"/>
          <w:szCs w:val="24"/>
        </w:rPr>
        <w:t xml:space="preserve">: </w:t>
      </w:r>
      <w:r w:rsidR="00AD4B78">
        <w:rPr>
          <w:rFonts w:ascii="Times New Roman" w:hAnsi="Times New Roman"/>
          <w:b/>
          <w:bCs/>
          <w:color w:val="323232"/>
          <w:sz w:val="24"/>
          <w:szCs w:val="24"/>
        </w:rPr>
        <w:t xml:space="preserve">The Future of </w:t>
      </w:r>
      <w:r w:rsidR="00AD4B78">
        <w:rPr>
          <w:rFonts w:ascii="Times New Roman" w:hAnsi="Times New Roman"/>
          <w:b/>
          <w:color w:val="323232"/>
          <w:sz w:val="24"/>
          <w:szCs w:val="24"/>
        </w:rPr>
        <w:t>Biological Warfare – Genome Sequencing</w:t>
      </w:r>
    </w:p>
    <w:p w14:paraId="2B129B12" w14:textId="0548940A" w:rsidR="00EB0265" w:rsidRPr="001E2FF3" w:rsidRDefault="00AD4B78" w:rsidP="00D24570">
      <w:pPr>
        <w:pStyle w:val="Default"/>
        <w:tabs>
          <w:tab w:val="left" w:pos="220"/>
          <w:tab w:val="left" w:pos="720"/>
        </w:tabs>
        <w:ind w:left="720" w:hanging="720"/>
        <w:rPr>
          <w:rFonts w:ascii="Times New Roman" w:hAnsi="Times New Roman"/>
          <w:b/>
          <w:bCs/>
          <w:color w:val="323232"/>
          <w:sz w:val="24"/>
          <w:szCs w:val="24"/>
        </w:rPr>
      </w:pPr>
      <w:r>
        <w:rPr>
          <w:rFonts w:ascii="Times New Roman" w:hAnsi="Times New Roman"/>
          <w:b/>
          <w:color w:val="323232"/>
          <w:sz w:val="24"/>
          <w:szCs w:val="24"/>
        </w:rPr>
        <w:t>Date: November 2019</w:t>
      </w:r>
    </w:p>
    <w:p w14:paraId="24E59C5D" w14:textId="346A438F" w:rsidR="009C21FC" w:rsidRDefault="009C21FC" w:rsidP="00D24570">
      <w:pPr>
        <w:pStyle w:val="Default"/>
        <w:tabs>
          <w:tab w:val="left" w:pos="220"/>
          <w:tab w:val="left" w:pos="720"/>
        </w:tabs>
        <w:ind w:left="720" w:hanging="720"/>
        <w:rPr>
          <w:rFonts w:ascii="Times New Roman" w:hAnsi="Times New Roman"/>
          <w:b/>
          <w:color w:val="323232"/>
          <w:sz w:val="24"/>
          <w:szCs w:val="24"/>
        </w:rPr>
      </w:pPr>
      <w:r>
        <w:rPr>
          <w:rFonts w:ascii="Times New Roman" w:hAnsi="Times New Roman"/>
          <w:b/>
          <w:color w:val="323232"/>
          <w:sz w:val="24"/>
          <w:szCs w:val="24"/>
        </w:rPr>
        <w:t xml:space="preserve">From: </w:t>
      </w:r>
      <w:r w:rsidR="00AD4B78">
        <w:rPr>
          <w:rFonts w:ascii="Times New Roman" w:hAnsi="Times New Roman"/>
          <w:b/>
          <w:color w:val="323232"/>
          <w:sz w:val="24"/>
          <w:szCs w:val="24"/>
        </w:rPr>
        <w:t>Student Researcher</w:t>
      </w:r>
    </w:p>
    <w:p w14:paraId="4DBEF195" w14:textId="77777777" w:rsidR="004E3EAD" w:rsidRDefault="004E3EAD">
      <w:pPr>
        <w:pStyle w:val="Default"/>
        <w:tabs>
          <w:tab w:val="left" w:pos="220"/>
          <w:tab w:val="left" w:pos="720"/>
        </w:tabs>
        <w:ind w:left="720" w:hanging="720"/>
        <w:rPr>
          <w:rFonts w:ascii="Times New Roman" w:eastAsia="Times New Roman" w:hAnsi="Times New Roman" w:cs="Times New Roman"/>
          <w:color w:val="323232"/>
          <w:sz w:val="24"/>
          <w:szCs w:val="24"/>
        </w:rPr>
      </w:pPr>
    </w:p>
    <w:p w14:paraId="11C2A0AF" w14:textId="04CBF247" w:rsidR="004F5B9B" w:rsidRDefault="004F5B9B">
      <w:pPr>
        <w:pStyle w:val="Default"/>
        <w:tabs>
          <w:tab w:val="left" w:pos="220"/>
          <w:tab w:val="left" w:pos="720"/>
        </w:tabs>
        <w:ind w:left="720" w:hanging="720"/>
        <w:rPr>
          <w:rFonts w:ascii="Times New Roman" w:eastAsia="Times New Roman" w:hAnsi="Times New Roman" w:cs="Times New Roman"/>
          <w:b/>
          <w:color w:val="323232"/>
          <w:sz w:val="24"/>
          <w:szCs w:val="24"/>
        </w:rPr>
      </w:pPr>
      <w:r w:rsidRPr="004F5B9B">
        <w:rPr>
          <w:rFonts w:ascii="Times New Roman" w:eastAsia="Times New Roman" w:hAnsi="Times New Roman" w:cs="Times New Roman"/>
          <w:b/>
          <w:color w:val="323232"/>
          <w:sz w:val="24"/>
          <w:szCs w:val="24"/>
        </w:rPr>
        <w:t>Introduction</w:t>
      </w:r>
      <w:r w:rsidR="00431CA8">
        <w:rPr>
          <w:rFonts w:ascii="Times New Roman" w:eastAsia="Times New Roman" w:hAnsi="Times New Roman" w:cs="Times New Roman"/>
          <w:b/>
          <w:color w:val="323232"/>
          <w:sz w:val="24"/>
          <w:szCs w:val="24"/>
        </w:rPr>
        <w:t>, Background and Context</w:t>
      </w:r>
      <w:r>
        <w:rPr>
          <w:rFonts w:ascii="Times New Roman" w:eastAsia="Times New Roman" w:hAnsi="Times New Roman" w:cs="Times New Roman"/>
          <w:b/>
          <w:color w:val="323232"/>
          <w:sz w:val="24"/>
          <w:szCs w:val="24"/>
        </w:rPr>
        <w:t>:</w:t>
      </w:r>
    </w:p>
    <w:p w14:paraId="198E15A8" w14:textId="408C5EB9" w:rsidR="00B61876" w:rsidRDefault="00BD4EE0" w:rsidP="002B6176">
      <w:pPr>
        <w:pStyle w:val="Default"/>
        <w:spacing w:line="480" w:lineRule="auto"/>
        <w:ind w:firstLine="720"/>
        <w:rPr>
          <w:rFonts w:ascii="Times New Roman" w:hAnsi="Times New Roman" w:cs="Times New Roman"/>
          <w:sz w:val="24"/>
        </w:rPr>
      </w:pPr>
      <w:r w:rsidRPr="00B61876">
        <w:rPr>
          <w:rFonts w:ascii="Times New Roman" w:hAnsi="Times New Roman" w:cs="Times New Roman"/>
          <w:sz w:val="24"/>
        </w:rPr>
        <w:t>Unlike 20</w:t>
      </w:r>
      <w:r w:rsidRPr="00B61876">
        <w:rPr>
          <w:rFonts w:ascii="Times New Roman" w:hAnsi="Times New Roman" w:cs="Times New Roman"/>
          <w:sz w:val="24"/>
          <w:vertAlign w:val="superscript"/>
        </w:rPr>
        <w:t>th</w:t>
      </w:r>
      <w:r w:rsidRPr="00B61876">
        <w:rPr>
          <w:rFonts w:ascii="Times New Roman" w:hAnsi="Times New Roman" w:cs="Times New Roman"/>
          <w:sz w:val="24"/>
        </w:rPr>
        <w:t xml:space="preserve"> century warfare between large state actors involving nuclear weapons, the 21</w:t>
      </w:r>
      <w:r w:rsidRPr="00B61876">
        <w:rPr>
          <w:rFonts w:ascii="Times New Roman" w:hAnsi="Times New Roman" w:cs="Times New Roman"/>
          <w:sz w:val="24"/>
          <w:vertAlign w:val="superscript"/>
        </w:rPr>
        <w:t>st</w:t>
      </w:r>
      <w:r w:rsidRPr="00B61876">
        <w:rPr>
          <w:rFonts w:ascii="Times New Roman" w:hAnsi="Times New Roman" w:cs="Times New Roman"/>
          <w:sz w:val="24"/>
        </w:rPr>
        <w:t xml:space="preserve"> century saw the rise of asymmetrical warfare and conflict with non-state actors. Since non-state actors do not possess the resources or funding that entire regimes have, they are very attracted to the idea of cyber and biological warfare. Cyber warfare is very accessible to anyone with access to the public online domain and it ranges from social media access to large scale “hackings” of information from classified servers. Concurrently, according to a 1969 United Nations study, the cost of causing one civilian casualty per square kilometer was $800 with nuclear weapons, $600 with chemical weapons, and only $1 with biological weapons</w:t>
      </w:r>
      <w:r w:rsidR="00E747BF">
        <w:rPr>
          <w:rStyle w:val="FootnoteReference"/>
          <w:rFonts w:ascii="Times New Roman" w:hAnsi="Times New Roman" w:cs="Times New Roman"/>
          <w:sz w:val="24"/>
        </w:rPr>
        <w:footnoteReference w:id="1"/>
      </w:r>
      <w:r w:rsidRPr="00B61876">
        <w:rPr>
          <w:rFonts w:ascii="Times New Roman" w:hAnsi="Times New Roman" w:cs="Times New Roman"/>
          <w:sz w:val="24"/>
        </w:rPr>
        <w:t>.</w:t>
      </w:r>
      <w:r w:rsidR="00E747BF">
        <w:rPr>
          <w:rFonts w:ascii="Times New Roman" w:hAnsi="Times New Roman" w:cs="Times New Roman"/>
          <w:sz w:val="24"/>
        </w:rPr>
        <w:t xml:space="preserve"> </w:t>
      </w:r>
      <w:r w:rsidRPr="00B61876">
        <w:rPr>
          <w:rFonts w:ascii="Times New Roman" w:hAnsi="Times New Roman" w:cs="Times New Roman"/>
          <w:sz w:val="24"/>
        </w:rPr>
        <w:t>Because of the approaching correlation between world population growth, disease and health concerns and cyber initiatives, examining this phenomenon from a national security lens is beneficial for the future of citizen’s genetic information.</w:t>
      </w:r>
    </w:p>
    <w:p w14:paraId="44DBA939" w14:textId="7A1BC0D7" w:rsidR="00745ACB" w:rsidRDefault="005D1637" w:rsidP="002B6176">
      <w:pPr>
        <w:spacing w:line="480" w:lineRule="auto"/>
        <w:rPr>
          <w:rFonts w:ascii="Times" w:hAnsi="Times"/>
        </w:rPr>
      </w:pPr>
      <w:r>
        <w:rPr>
          <w:rFonts w:ascii="Times" w:hAnsi="Times"/>
        </w:rPr>
        <w:t xml:space="preserve">      </w:t>
      </w:r>
      <w:r w:rsidR="00404B2E">
        <w:rPr>
          <w:rFonts w:ascii="Times" w:hAnsi="Times"/>
        </w:rPr>
        <w:t>In the g</w:t>
      </w:r>
      <w:r w:rsidR="00E559BF">
        <w:rPr>
          <w:rFonts w:ascii="Times" w:hAnsi="Times"/>
        </w:rPr>
        <w:t>lobalized and inter connected society that we currently live in, the biological and cyber ‘convergence’ is very appealing to educators and scientists worldwide, with many economic incentives attached to it</w:t>
      </w:r>
      <w:r>
        <w:rPr>
          <w:rFonts w:ascii="Times" w:hAnsi="Times"/>
        </w:rPr>
        <w:t>.</w:t>
      </w:r>
      <w:r w:rsidR="00E559BF">
        <w:rPr>
          <w:rFonts w:ascii="Times" w:hAnsi="Times"/>
        </w:rPr>
        <w:t xml:space="preserve"> Craig Venter is a prime example, a biotechnologist that raced to sequence the first genome and now owns Celera Genomics, competing with the National Institute of Health’s Human Genome Project.</w:t>
      </w:r>
      <w:r w:rsidR="00C321B6">
        <w:rPr>
          <w:rFonts w:ascii="Times" w:hAnsi="Times"/>
        </w:rPr>
        <w:t xml:space="preserve"> His scientific endeavors led hi</w:t>
      </w:r>
      <w:r w:rsidR="00404B2E">
        <w:rPr>
          <w:rFonts w:ascii="Times" w:hAnsi="Times"/>
        </w:rPr>
        <w:t xml:space="preserve">m to success, but these methods could potentially be developed (if not already) in other countries for ulterior motives. </w:t>
      </w:r>
    </w:p>
    <w:p w14:paraId="52C83400" w14:textId="3CE1E356" w:rsidR="005D1637" w:rsidRPr="00D24570" w:rsidRDefault="00322352" w:rsidP="00D24570">
      <w:pPr>
        <w:spacing w:line="480" w:lineRule="auto"/>
        <w:ind w:firstLine="720"/>
        <w:rPr>
          <w:rFonts w:ascii="Times" w:hAnsi="Times"/>
        </w:rPr>
      </w:pPr>
      <w:r>
        <w:rPr>
          <w:rFonts w:ascii="Times" w:hAnsi="Times"/>
        </w:rPr>
        <w:lastRenderedPageBreak/>
        <w:t xml:space="preserve">When both a public and private market exist for genome sequencing, securitization becomes less centralized and unpredictable. With </w:t>
      </w:r>
      <w:r w:rsidR="00404B2E">
        <w:rPr>
          <w:rFonts w:ascii="Times" w:hAnsi="Times"/>
        </w:rPr>
        <w:t xml:space="preserve">the market growing rapidly and </w:t>
      </w:r>
      <w:r>
        <w:rPr>
          <w:rFonts w:ascii="Times" w:hAnsi="Times"/>
        </w:rPr>
        <w:t xml:space="preserve">genome sequencing reducing in price, </w:t>
      </w:r>
      <w:r w:rsidR="00745ACB">
        <w:rPr>
          <w:rFonts w:ascii="Times" w:hAnsi="Times"/>
        </w:rPr>
        <w:t>information is at a higher risk of being stolen, manipulated and sold to bidders who ke</w:t>
      </w:r>
      <w:r w:rsidR="00404B2E">
        <w:rPr>
          <w:rFonts w:ascii="Times" w:hAnsi="Times"/>
        </w:rPr>
        <w:t>ep their intentions secretive. For example, terrorist organizations would be</w:t>
      </w:r>
      <w:r w:rsidR="005D1637">
        <w:rPr>
          <w:rFonts w:ascii="Times" w:hAnsi="Times"/>
        </w:rPr>
        <w:t xml:space="preserve"> willing</w:t>
      </w:r>
      <w:r w:rsidR="00404B2E">
        <w:rPr>
          <w:rFonts w:ascii="Times" w:hAnsi="Times"/>
        </w:rPr>
        <w:t xml:space="preserve"> to pay for a deferred scientist</w:t>
      </w:r>
      <w:r w:rsidR="005D1637">
        <w:rPr>
          <w:rFonts w:ascii="Times" w:hAnsi="Times"/>
        </w:rPr>
        <w:t xml:space="preserve"> to work for them at a high enough price and guaranteed immunity. </w:t>
      </w:r>
      <w:r w:rsidR="00404B2E">
        <w:rPr>
          <w:rFonts w:ascii="Times" w:hAnsi="Times"/>
        </w:rPr>
        <w:t>Another vulnerability</w:t>
      </w:r>
      <w:r w:rsidR="005D1637" w:rsidRPr="00BC0302">
        <w:rPr>
          <w:rFonts w:ascii="Times" w:hAnsi="Times"/>
        </w:rPr>
        <w:t xml:space="preserve"> i</w:t>
      </w:r>
      <w:r w:rsidR="005D1637">
        <w:rPr>
          <w:rFonts w:ascii="Times" w:hAnsi="Times"/>
        </w:rPr>
        <w:t xml:space="preserve">s the misuse of </w:t>
      </w:r>
      <w:r w:rsidR="005D1637" w:rsidRPr="00BC0302">
        <w:rPr>
          <w:rFonts w:ascii="Times" w:hAnsi="Times"/>
        </w:rPr>
        <w:t>available electron</w:t>
      </w:r>
      <w:r w:rsidR="005D1637">
        <w:rPr>
          <w:rFonts w:ascii="Times" w:hAnsi="Times"/>
        </w:rPr>
        <w:t>ic data and knowledge regarding</w:t>
      </w:r>
      <w:r w:rsidR="005D1637" w:rsidRPr="00BC0302">
        <w:rPr>
          <w:rFonts w:ascii="Times" w:hAnsi="Times"/>
        </w:rPr>
        <w:t xml:space="preserve"> th</w:t>
      </w:r>
      <w:r w:rsidR="005D1637">
        <w:rPr>
          <w:rFonts w:ascii="Times" w:hAnsi="Times"/>
        </w:rPr>
        <w:t xml:space="preserve">e production of antibiotics, vaccines </w:t>
      </w:r>
      <w:r w:rsidR="005D1637" w:rsidRPr="00BC0302">
        <w:rPr>
          <w:rFonts w:ascii="Times" w:hAnsi="Times"/>
        </w:rPr>
        <w:t xml:space="preserve">and of </w:t>
      </w:r>
      <w:r w:rsidR="005D1637">
        <w:rPr>
          <w:rFonts w:ascii="Times" w:hAnsi="Times"/>
        </w:rPr>
        <w:t xml:space="preserve">many weapons, including specific instructions on how to build them. </w:t>
      </w:r>
    </w:p>
    <w:p w14:paraId="25D19126" w14:textId="3CB44F0F" w:rsidR="0061647E" w:rsidRPr="00E80E6B" w:rsidRDefault="00E80E6B" w:rsidP="004F5B9B">
      <w:pPr>
        <w:pStyle w:val="Default"/>
        <w:rPr>
          <w:rFonts w:ascii="Times New Roman" w:eastAsia="Times New Roman" w:hAnsi="Times New Roman" w:cs="Times New Roman"/>
          <w:b/>
          <w:color w:val="323232"/>
          <w:sz w:val="24"/>
          <w:szCs w:val="24"/>
        </w:rPr>
      </w:pPr>
      <w:r w:rsidRPr="00E80E6B">
        <w:rPr>
          <w:rFonts w:ascii="Times New Roman" w:hAnsi="Times New Roman"/>
          <w:b/>
          <w:color w:val="323232"/>
          <w:sz w:val="24"/>
          <w:szCs w:val="24"/>
        </w:rPr>
        <w:t xml:space="preserve">Current </w:t>
      </w:r>
      <w:r w:rsidR="00AD4B78">
        <w:rPr>
          <w:rFonts w:ascii="Times New Roman" w:hAnsi="Times New Roman"/>
          <w:b/>
          <w:color w:val="323232"/>
          <w:sz w:val="24"/>
          <w:szCs w:val="24"/>
        </w:rPr>
        <w:t>US</w:t>
      </w:r>
      <w:r w:rsidR="0061647E" w:rsidRPr="00E80E6B">
        <w:rPr>
          <w:rFonts w:ascii="Times New Roman" w:hAnsi="Times New Roman"/>
          <w:b/>
          <w:color w:val="323232"/>
          <w:sz w:val="24"/>
          <w:szCs w:val="24"/>
        </w:rPr>
        <w:t xml:space="preserve"> </w:t>
      </w:r>
      <w:r>
        <w:rPr>
          <w:rFonts w:ascii="Times New Roman" w:hAnsi="Times New Roman"/>
          <w:b/>
          <w:color w:val="323232"/>
          <w:sz w:val="24"/>
          <w:szCs w:val="24"/>
        </w:rPr>
        <w:t>Policy</w:t>
      </w:r>
      <w:r w:rsidR="00AD4B78">
        <w:rPr>
          <w:rFonts w:ascii="Times New Roman" w:hAnsi="Times New Roman"/>
          <w:b/>
          <w:color w:val="323232"/>
          <w:sz w:val="24"/>
          <w:szCs w:val="24"/>
        </w:rPr>
        <w:t xml:space="preserve"> on Biological Cyber Warfare</w:t>
      </w:r>
      <w:r w:rsidR="00A66F28">
        <w:rPr>
          <w:rFonts w:ascii="Times New Roman" w:hAnsi="Times New Roman"/>
          <w:b/>
          <w:color w:val="323232"/>
          <w:sz w:val="24"/>
          <w:szCs w:val="24"/>
        </w:rPr>
        <w:t>:</w:t>
      </w:r>
    </w:p>
    <w:p w14:paraId="691A4A93" w14:textId="554BF30F" w:rsidR="00E80E6B" w:rsidRDefault="00DE0EE8" w:rsidP="005D6D14">
      <w:pPr>
        <w:pStyle w:val="Default"/>
        <w:rPr>
          <w:rFonts w:ascii="Times New Roman" w:hAnsi="Times New Roman"/>
          <w:color w:val="323232"/>
          <w:sz w:val="24"/>
          <w:szCs w:val="24"/>
        </w:rPr>
      </w:pPr>
      <w:r>
        <w:rPr>
          <w:rFonts w:ascii="Times New Roman" w:hAnsi="Times New Roman"/>
          <w:color w:val="323232"/>
          <w:sz w:val="24"/>
          <w:szCs w:val="24"/>
        </w:rPr>
        <w:t>T</w:t>
      </w:r>
      <w:r w:rsidR="00230061">
        <w:rPr>
          <w:rFonts w:ascii="Times New Roman" w:hAnsi="Times New Roman"/>
          <w:color w:val="323232"/>
          <w:sz w:val="24"/>
          <w:szCs w:val="24"/>
        </w:rPr>
        <w:t>he 2018 National Biodefense Strateg</w:t>
      </w:r>
      <w:r>
        <w:rPr>
          <w:rFonts w:ascii="Times New Roman" w:hAnsi="Times New Roman"/>
          <w:color w:val="323232"/>
          <w:sz w:val="24"/>
          <w:szCs w:val="24"/>
        </w:rPr>
        <w:t>y touches upon incrementing Biological Cyber Security by:</w:t>
      </w:r>
    </w:p>
    <w:p w14:paraId="52DF295A" w14:textId="77777777" w:rsidR="00E80E6B" w:rsidRDefault="00E80E6B" w:rsidP="005D6D14">
      <w:pPr>
        <w:pStyle w:val="Default"/>
        <w:rPr>
          <w:rFonts w:ascii="Times New Roman" w:hAnsi="Times New Roman"/>
          <w:color w:val="323232"/>
          <w:sz w:val="24"/>
          <w:szCs w:val="24"/>
        </w:rPr>
      </w:pPr>
    </w:p>
    <w:p w14:paraId="2AD00094" w14:textId="3CCA298D" w:rsidR="00E80E6B" w:rsidRPr="00E80E6B" w:rsidRDefault="0075346C" w:rsidP="009A1EB4">
      <w:pPr>
        <w:pStyle w:val="Default"/>
        <w:spacing w:line="480" w:lineRule="auto"/>
        <w:ind w:left="720" w:right="720"/>
        <w:rPr>
          <w:rFonts w:ascii="Times New Roman" w:hAnsi="Times New Roman"/>
          <w:i/>
          <w:color w:val="323232"/>
          <w:sz w:val="24"/>
          <w:szCs w:val="24"/>
        </w:rPr>
      </w:pPr>
      <w:r>
        <w:rPr>
          <w:rFonts w:ascii="Times New Roman" w:hAnsi="Times New Roman"/>
          <w:i/>
          <w:color w:val="323232"/>
          <w:sz w:val="24"/>
          <w:szCs w:val="24"/>
        </w:rPr>
        <w:t>Section 2.4.1</w:t>
      </w:r>
      <w:r w:rsidR="00DE0EE8">
        <w:rPr>
          <w:rFonts w:ascii="Times New Roman" w:hAnsi="Times New Roman"/>
          <w:i/>
          <w:color w:val="323232"/>
          <w:sz w:val="24"/>
          <w:szCs w:val="24"/>
        </w:rPr>
        <w:t xml:space="preserve"> National Biodefense Strategy</w:t>
      </w:r>
      <w:r w:rsidR="00E80E6B" w:rsidRPr="00E80E6B">
        <w:rPr>
          <w:rFonts w:ascii="Times New Roman" w:hAnsi="Times New Roman"/>
          <w:i/>
          <w:color w:val="323232"/>
          <w:sz w:val="24"/>
          <w:szCs w:val="24"/>
        </w:rPr>
        <w:t>.</w:t>
      </w:r>
    </w:p>
    <w:p w14:paraId="08B2EFDB" w14:textId="61821151" w:rsidR="00E80E6B" w:rsidRPr="00E80E6B" w:rsidRDefault="00CC03C4" w:rsidP="009A1EB4">
      <w:pPr>
        <w:pStyle w:val="Default"/>
        <w:spacing w:line="480" w:lineRule="auto"/>
        <w:ind w:left="720" w:right="720"/>
        <w:rPr>
          <w:rFonts w:ascii="Times New Roman" w:hAnsi="Times New Roman"/>
          <w:color w:val="323232"/>
          <w:sz w:val="24"/>
          <w:szCs w:val="24"/>
        </w:rPr>
      </w:pPr>
      <w:r>
        <w:rPr>
          <w:rFonts w:ascii="Times New Roman" w:hAnsi="Times New Roman"/>
          <w:color w:val="323232"/>
          <w:sz w:val="24"/>
          <w:szCs w:val="24"/>
        </w:rPr>
        <w:t>“</w:t>
      </w:r>
      <w:r w:rsidR="004B4F41">
        <w:rPr>
          <w:rFonts w:ascii="Times New Roman" w:hAnsi="Times New Roman"/>
          <w:color w:val="323232"/>
          <w:sz w:val="24"/>
          <w:szCs w:val="24"/>
        </w:rPr>
        <w:t>Maintaining and continuously improving</w:t>
      </w:r>
      <w:r w:rsidRPr="00CC03C4">
        <w:rPr>
          <w:rFonts w:ascii="Times New Roman" w:hAnsi="Times New Roman"/>
          <w:color w:val="323232"/>
          <w:sz w:val="24"/>
          <w:szCs w:val="24"/>
        </w:rPr>
        <w:t xml:space="preserve"> biosafety, biosecurity, and oversight programs and</w:t>
      </w:r>
      <w:r>
        <w:rPr>
          <w:rFonts w:ascii="Times New Roman" w:hAnsi="Times New Roman"/>
          <w:color w:val="323232"/>
          <w:sz w:val="24"/>
          <w:szCs w:val="24"/>
        </w:rPr>
        <w:t xml:space="preserve"> </w:t>
      </w:r>
      <w:r w:rsidRPr="00CC03C4">
        <w:rPr>
          <w:rFonts w:ascii="Times New Roman" w:hAnsi="Times New Roman"/>
          <w:color w:val="323232"/>
          <w:sz w:val="24"/>
          <w:szCs w:val="24"/>
        </w:rPr>
        <w:t>practices for laboratories and other facilities, and for the end-to-end management of samples</w:t>
      </w:r>
      <w:r>
        <w:rPr>
          <w:rFonts w:ascii="Times New Roman" w:hAnsi="Times New Roman"/>
          <w:color w:val="323232"/>
          <w:sz w:val="24"/>
          <w:szCs w:val="24"/>
        </w:rPr>
        <w:t xml:space="preserve"> </w:t>
      </w:r>
      <w:r w:rsidRPr="00CC03C4">
        <w:rPr>
          <w:rFonts w:ascii="Times New Roman" w:hAnsi="Times New Roman"/>
          <w:color w:val="323232"/>
          <w:sz w:val="24"/>
          <w:szCs w:val="24"/>
        </w:rPr>
        <w:t>and specimens (e.g., collection, transport, inactivation, disposal, and waste management).</w:t>
      </w:r>
      <w:r>
        <w:rPr>
          <w:rFonts w:ascii="Times New Roman" w:hAnsi="Times New Roman"/>
          <w:color w:val="323232"/>
          <w:sz w:val="24"/>
          <w:szCs w:val="24"/>
        </w:rPr>
        <w:t xml:space="preserve"> </w:t>
      </w:r>
      <w:r w:rsidRPr="00CC03C4">
        <w:rPr>
          <w:rFonts w:ascii="Times New Roman" w:hAnsi="Times New Roman" w:hint="eastAsia"/>
          <w:color w:val="323232"/>
          <w:sz w:val="24"/>
          <w:szCs w:val="24"/>
        </w:rPr>
        <w:t>Promote appropriate national and facility-specific biosafety, biosecurity (including</w:t>
      </w:r>
      <w:r>
        <w:rPr>
          <w:rFonts w:ascii="Times New Roman" w:hAnsi="Times New Roman"/>
          <w:color w:val="323232"/>
          <w:sz w:val="24"/>
          <w:szCs w:val="24"/>
        </w:rPr>
        <w:t xml:space="preserve"> </w:t>
      </w:r>
      <w:r w:rsidRPr="00CC03C4">
        <w:rPr>
          <w:rFonts w:ascii="Times New Roman" w:hAnsi="Times New Roman"/>
          <w:color w:val="323232"/>
          <w:sz w:val="24"/>
          <w:szCs w:val="24"/>
        </w:rPr>
        <w:t>cybersecurity), and oversight programs, policies, practices, and legislation in partner nations</w:t>
      </w:r>
      <w:r>
        <w:rPr>
          <w:rFonts w:ascii="Times New Roman" w:hAnsi="Times New Roman"/>
          <w:color w:val="323232"/>
          <w:sz w:val="24"/>
          <w:szCs w:val="24"/>
        </w:rPr>
        <w:t xml:space="preserve"> </w:t>
      </w:r>
      <w:r w:rsidRPr="00CC03C4">
        <w:rPr>
          <w:rFonts w:ascii="Times New Roman" w:hAnsi="Times New Roman"/>
          <w:color w:val="323232"/>
          <w:sz w:val="24"/>
          <w:szCs w:val="24"/>
        </w:rPr>
        <w:t>while facilitating legitimate research and innovation.</w:t>
      </w:r>
      <w:r>
        <w:rPr>
          <w:rFonts w:ascii="Times New Roman" w:hAnsi="Times New Roman"/>
          <w:color w:val="323232"/>
          <w:sz w:val="24"/>
          <w:szCs w:val="24"/>
        </w:rPr>
        <w:t xml:space="preserve"> </w:t>
      </w:r>
      <w:r w:rsidRPr="00CC03C4">
        <w:rPr>
          <w:rFonts w:ascii="Times New Roman" w:hAnsi="Times New Roman" w:hint="eastAsia"/>
          <w:color w:val="323232"/>
          <w:sz w:val="24"/>
          <w:szCs w:val="24"/>
        </w:rPr>
        <w:t>Coordinate and conduct basic and applied biosafety and biosecurity research to provide an</w:t>
      </w:r>
      <w:r>
        <w:rPr>
          <w:rFonts w:ascii="Times New Roman" w:hAnsi="Times New Roman"/>
          <w:color w:val="323232"/>
          <w:sz w:val="24"/>
          <w:szCs w:val="24"/>
        </w:rPr>
        <w:t xml:space="preserve"> </w:t>
      </w:r>
      <w:r w:rsidRPr="00CC03C4">
        <w:rPr>
          <w:rFonts w:ascii="Times New Roman" w:hAnsi="Times New Roman"/>
          <w:color w:val="323232"/>
          <w:sz w:val="24"/>
          <w:szCs w:val="24"/>
        </w:rPr>
        <w:t>evidence base for improving safety and security practices.</w:t>
      </w:r>
      <w:r>
        <w:rPr>
          <w:rFonts w:ascii="Times New Roman" w:hAnsi="Times New Roman"/>
          <w:color w:val="323232"/>
          <w:sz w:val="24"/>
          <w:szCs w:val="24"/>
        </w:rPr>
        <w:t xml:space="preserve"> </w:t>
      </w:r>
      <w:r w:rsidRPr="00CC03C4">
        <w:rPr>
          <w:rFonts w:ascii="Times New Roman" w:hAnsi="Times New Roman" w:hint="eastAsia"/>
          <w:color w:val="323232"/>
          <w:sz w:val="24"/>
          <w:szCs w:val="24"/>
        </w:rPr>
        <w:t>Encourage facilities working with biohazards to engage in pre-incident response planning,</w:t>
      </w:r>
      <w:r>
        <w:rPr>
          <w:rFonts w:ascii="Times New Roman" w:hAnsi="Times New Roman"/>
          <w:color w:val="323232"/>
          <w:sz w:val="24"/>
          <w:szCs w:val="24"/>
        </w:rPr>
        <w:t xml:space="preserve"> </w:t>
      </w:r>
      <w:r w:rsidRPr="00CC03C4">
        <w:rPr>
          <w:rFonts w:ascii="Times New Roman" w:hAnsi="Times New Roman"/>
          <w:color w:val="323232"/>
          <w:sz w:val="24"/>
          <w:szCs w:val="24"/>
        </w:rPr>
        <w:t>training, and exercises, including with local responders, to minimize impacts from accidental</w:t>
      </w:r>
      <w:r>
        <w:rPr>
          <w:rFonts w:ascii="Times New Roman" w:hAnsi="Times New Roman"/>
          <w:color w:val="323232"/>
          <w:sz w:val="24"/>
          <w:szCs w:val="24"/>
        </w:rPr>
        <w:t xml:space="preserve"> </w:t>
      </w:r>
      <w:r w:rsidRPr="00CC03C4">
        <w:rPr>
          <w:rFonts w:ascii="Times New Roman" w:hAnsi="Times New Roman"/>
          <w:color w:val="323232"/>
          <w:sz w:val="24"/>
          <w:szCs w:val="24"/>
        </w:rPr>
        <w:t>releases.</w:t>
      </w:r>
      <w:r>
        <w:rPr>
          <w:rFonts w:ascii="Times New Roman" w:hAnsi="Times New Roman"/>
          <w:color w:val="323232"/>
          <w:sz w:val="24"/>
          <w:szCs w:val="24"/>
        </w:rPr>
        <w:t>”</w:t>
      </w:r>
      <w:r w:rsidR="00427F09">
        <w:rPr>
          <w:rFonts w:ascii="Times New Roman" w:hAnsi="Times New Roman"/>
          <w:color w:val="323232"/>
          <w:sz w:val="24"/>
          <w:szCs w:val="24"/>
        </w:rPr>
        <w:t xml:space="preserve"> </w:t>
      </w:r>
      <w:r w:rsidR="00BF732D">
        <w:rPr>
          <w:rStyle w:val="FootnoteReference"/>
          <w:rFonts w:ascii="Times New Roman" w:hAnsi="Times New Roman"/>
          <w:color w:val="323232"/>
          <w:sz w:val="24"/>
          <w:szCs w:val="24"/>
        </w:rPr>
        <w:footnoteReference w:id="2"/>
      </w:r>
    </w:p>
    <w:p w14:paraId="2D59144E" w14:textId="77777777" w:rsidR="00A3530C" w:rsidRDefault="00A3530C" w:rsidP="00A3530C">
      <w:pPr>
        <w:pStyle w:val="Default"/>
        <w:rPr>
          <w:rFonts w:ascii="Times New Roman" w:hAnsi="Times New Roman"/>
          <w:color w:val="323232"/>
          <w:sz w:val="24"/>
          <w:szCs w:val="24"/>
        </w:rPr>
      </w:pPr>
    </w:p>
    <w:p w14:paraId="1FE0901B" w14:textId="51607BDC" w:rsidR="005D6D14" w:rsidRPr="00A3530C" w:rsidRDefault="002B6176" w:rsidP="00357887">
      <w:pPr>
        <w:pStyle w:val="Default"/>
        <w:spacing w:line="480" w:lineRule="auto"/>
        <w:ind w:firstLine="720"/>
        <w:rPr>
          <w:rFonts w:ascii="Times New Roman" w:hAnsi="Times New Roman"/>
          <w:color w:val="323232"/>
          <w:sz w:val="24"/>
          <w:szCs w:val="24"/>
        </w:rPr>
      </w:pPr>
      <w:r>
        <w:rPr>
          <w:rFonts w:ascii="Times New Roman" w:hAnsi="Times New Roman"/>
          <w:color w:val="323232"/>
          <w:sz w:val="24"/>
          <w:szCs w:val="24"/>
        </w:rPr>
        <w:t xml:space="preserve">The above excerpt </w:t>
      </w:r>
      <w:r w:rsidR="00FA2969">
        <w:rPr>
          <w:rFonts w:ascii="Times New Roman" w:hAnsi="Times New Roman"/>
          <w:color w:val="323232"/>
          <w:sz w:val="24"/>
          <w:szCs w:val="24"/>
        </w:rPr>
        <w:t>from the 2018 National Biodefense Strategy expresses concern and acknowledgement from the US Government to secure biological cyber facilities and programs all over the country. Although it only comprised a small part of the grand strategy, the fa</w:t>
      </w:r>
      <w:r>
        <w:rPr>
          <w:rFonts w:ascii="Times New Roman" w:hAnsi="Times New Roman"/>
          <w:color w:val="323232"/>
          <w:sz w:val="24"/>
          <w:szCs w:val="24"/>
        </w:rPr>
        <w:t>ct that T</w:t>
      </w:r>
      <w:r w:rsidR="00FA2969">
        <w:rPr>
          <w:rFonts w:ascii="Times New Roman" w:hAnsi="Times New Roman"/>
          <w:color w:val="323232"/>
          <w:sz w:val="24"/>
          <w:szCs w:val="24"/>
        </w:rPr>
        <w:t xml:space="preserve">he United States is acknowledging the correlation between cyber and biological policy is a step in the right direction to mitigating threats and increasing security in the field. However, </w:t>
      </w:r>
      <w:r w:rsidR="00D0433E">
        <w:rPr>
          <w:rFonts w:ascii="Times New Roman" w:hAnsi="Times New Roman"/>
          <w:color w:val="323232"/>
          <w:sz w:val="24"/>
          <w:szCs w:val="24"/>
        </w:rPr>
        <w:t>it</w:t>
      </w:r>
      <w:r w:rsidR="00C52A03">
        <w:rPr>
          <w:rFonts w:ascii="Times New Roman" w:hAnsi="Times New Roman"/>
          <w:color w:val="323232"/>
          <w:sz w:val="24"/>
          <w:szCs w:val="24"/>
        </w:rPr>
        <w:t xml:space="preserve"> has not been developed to include the creation of facilities, more resources or specific funding. It also does not address the idea of working in tandem with other allied western governments</w:t>
      </w:r>
      <w:r>
        <w:rPr>
          <w:rFonts w:ascii="Times New Roman" w:hAnsi="Times New Roman"/>
          <w:color w:val="323232"/>
          <w:sz w:val="24"/>
          <w:szCs w:val="24"/>
        </w:rPr>
        <w:t>, which portrays the issue as something local and not a stro</w:t>
      </w:r>
      <w:r w:rsidR="00A42C84">
        <w:rPr>
          <w:rFonts w:ascii="Times New Roman" w:hAnsi="Times New Roman"/>
          <w:color w:val="323232"/>
          <w:sz w:val="24"/>
          <w:szCs w:val="24"/>
        </w:rPr>
        <w:t>ng determinant of national security threats</w:t>
      </w:r>
      <w:r>
        <w:rPr>
          <w:rFonts w:ascii="Times New Roman" w:hAnsi="Times New Roman"/>
          <w:color w:val="323232"/>
          <w:sz w:val="24"/>
          <w:szCs w:val="24"/>
        </w:rPr>
        <w:t xml:space="preserve">. </w:t>
      </w:r>
    </w:p>
    <w:p w14:paraId="77AB96D8" w14:textId="77777777" w:rsidR="004F5B9B" w:rsidRDefault="004F5B9B">
      <w:pPr>
        <w:pStyle w:val="Default"/>
        <w:tabs>
          <w:tab w:val="left" w:pos="220"/>
          <w:tab w:val="left" w:pos="720"/>
        </w:tabs>
        <w:ind w:left="720" w:hanging="720"/>
        <w:rPr>
          <w:rFonts w:ascii="Times New Roman" w:eastAsia="Times New Roman" w:hAnsi="Times New Roman" w:cs="Times New Roman"/>
          <w:b/>
          <w:color w:val="323232"/>
          <w:sz w:val="24"/>
          <w:szCs w:val="24"/>
        </w:rPr>
      </w:pPr>
    </w:p>
    <w:p w14:paraId="345EA709" w14:textId="1B00C95B" w:rsidR="004F5B9B" w:rsidRDefault="004F5B9B" w:rsidP="005D6D14">
      <w:pPr>
        <w:pStyle w:val="Default"/>
        <w:tabs>
          <w:tab w:val="left" w:pos="220"/>
          <w:tab w:val="left" w:pos="720"/>
        </w:tabs>
        <w:ind w:left="720" w:hanging="720"/>
        <w:rPr>
          <w:rFonts w:ascii="Times New Roman" w:eastAsia="Times New Roman" w:hAnsi="Times New Roman" w:cs="Times New Roman"/>
          <w:b/>
          <w:color w:val="323232"/>
          <w:sz w:val="24"/>
          <w:szCs w:val="24"/>
        </w:rPr>
      </w:pPr>
      <w:r w:rsidRPr="004F5B9B">
        <w:rPr>
          <w:rFonts w:ascii="Times New Roman" w:eastAsia="Times New Roman" w:hAnsi="Times New Roman" w:cs="Times New Roman"/>
          <w:b/>
          <w:color w:val="323232"/>
          <w:sz w:val="24"/>
          <w:szCs w:val="24"/>
        </w:rPr>
        <w:t xml:space="preserve">Summary of </w:t>
      </w:r>
      <w:r w:rsidR="00025105">
        <w:rPr>
          <w:rFonts w:ascii="Times New Roman" w:eastAsia="Times New Roman" w:hAnsi="Times New Roman" w:cs="Times New Roman"/>
          <w:b/>
          <w:color w:val="323232"/>
          <w:sz w:val="24"/>
          <w:szCs w:val="24"/>
        </w:rPr>
        <w:t xml:space="preserve">Policy </w:t>
      </w:r>
      <w:r w:rsidRPr="004F5B9B">
        <w:rPr>
          <w:rFonts w:ascii="Times New Roman" w:eastAsia="Times New Roman" w:hAnsi="Times New Roman" w:cs="Times New Roman"/>
          <w:b/>
          <w:color w:val="323232"/>
          <w:sz w:val="24"/>
          <w:szCs w:val="24"/>
        </w:rPr>
        <w:t>Recommendation:</w:t>
      </w:r>
    </w:p>
    <w:p w14:paraId="7F6F8C4C" w14:textId="41605C36" w:rsidR="00947293" w:rsidRDefault="00A42C84" w:rsidP="00E44C0E">
      <w:pPr>
        <w:spacing w:line="480" w:lineRule="auto"/>
        <w:rPr>
          <w:color w:val="323232"/>
        </w:rPr>
      </w:pPr>
      <w:r>
        <w:rPr>
          <w:color w:val="323232"/>
        </w:rPr>
        <w:tab/>
      </w:r>
      <w:r w:rsidR="00947293">
        <w:rPr>
          <w:color w:val="323232"/>
        </w:rPr>
        <w:t>To continue forward in advancing in the field of biological technology and genome sequencing, the United States need not reinvent the wheel, but use its capacities and capabilities in a joint effort to educate military officials, legislators, private companies and the general public. This includes using the National Center for Medical Intelligence and creating jobs within the center that</w:t>
      </w:r>
      <w:r w:rsidR="004366CE">
        <w:rPr>
          <w:color w:val="323232"/>
        </w:rPr>
        <w:t xml:space="preserve"> not only provide foreign intelligence, but look towards developing counterintelligence as well</w:t>
      </w:r>
      <w:r w:rsidR="00ED384A">
        <w:rPr>
          <w:color w:val="323232"/>
        </w:rPr>
        <w:t>.</w:t>
      </w:r>
      <w:r w:rsidR="001E5511">
        <w:rPr>
          <w:rStyle w:val="FootnoteReference"/>
          <w:color w:val="323232"/>
        </w:rPr>
        <w:footnoteReference w:id="3"/>
      </w:r>
    </w:p>
    <w:p w14:paraId="2E3ACD8D" w14:textId="22225118" w:rsidR="004F5B9B" w:rsidRDefault="00761337" w:rsidP="00407D11">
      <w:pPr>
        <w:spacing w:line="480" w:lineRule="auto"/>
        <w:ind w:firstLine="720"/>
        <w:rPr>
          <w:rFonts w:eastAsia="Times New Roman"/>
          <w:bdr w:val="none" w:sz="0" w:space="0" w:color="auto"/>
        </w:rPr>
      </w:pPr>
      <w:r>
        <w:rPr>
          <w:color w:val="323232"/>
        </w:rPr>
        <w:t>Under the DIA’s command exists the National Center for Me</w:t>
      </w:r>
      <w:r w:rsidR="00175E93">
        <w:rPr>
          <w:color w:val="323232"/>
        </w:rPr>
        <w:t>dical Intelligence. This center, under the purview of the Department of Defense states that its policy is</w:t>
      </w:r>
      <w:r w:rsidR="00947293">
        <w:rPr>
          <w:color w:val="323232"/>
        </w:rPr>
        <w:t xml:space="preserve"> a</w:t>
      </w:r>
      <w:r w:rsidR="00175E93">
        <w:rPr>
          <w:color w:val="323232"/>
        </w:rPr>
        <w:t xml:space="preserve"> “</w:t>
      </w:r>
      <w:r w:rsidR="00175E93" w:rsidRPr="00175E93">
        <w:rPr>
          <w:rFonts w:eastAsia="Times New Roman"/>
          <w:bdr w:val="none" w:sz="0" w:space="0" w:color="auto"/>
        </w:rPr>
        <w:t>unified Defense community for m</w:t>
      </w:r>
      <w:r w:rsidR="00175E93">
        <w:rPr>
          <w:rFonts w:eastAsia="Times New Roman"/>
          <w:bdr w:val="none" w:sz="0" w:space="0" w:color="auto"/>
        </w:rPr>
        <w:t xml:space="preserve">edical intelligence activities </w:t>
      </w:r>
      <w:r w:rsidR="00175E93" w:rsidRPr="00175E93">
        <w:rPr>
          <w:rFonts w:eastAsia="Times New Roman"/>
          <w:bdr w:val="none" w:sz="0" w:space="0" w:color="auto"/>
        </w:rPr>
        <w:t xml:space="preserve">executed in a coordinated and coherent manner to effectively respond to U.S. intelligence priorities in support of national security </w:t>
      </w:r>
      <w:r w:rsidR="00175E93" w:rsidRPr="00175E93">
        <w:rPr>
          <w:rFonts w:eastAsia="Times New Roman"/>
          <w:bdr w:val="none" w:sz="0" w:space="0" w:color="auto"/>
        </w:rPr>
        <w:lastRenderedPageBreak/>
        <w:t>objectives, and in accordance with all applicable laws, Presidential directives, DoD issuances, and Director of National Intelligence</w:t>
      </w:r>
      <w:r w:rsidR="00175E93">
        <w:rPr>
          <w:rFonts w:eastAsia="Times New Roman"/>
          <w:bdr w:val="none" w:sz="0" w:space="0" w:color="auto"/>
        </w:rPr>
        <w:t>”.</w:t>
      </w:r>
      <w:r w:rsidR="00947293">
        <w:rPr>
          <w:rFonts w:eastAsia="Times New Roman"/>
          <w:bdr w:val="none" w:sz="0" w:space="0" w:color="auto"/>
        </w:rPr>
        <w:t xml:space="preserve"> However, upon further open source research, the documents dating back to the creation of the NCMI are archaic and lack updating. </w:t>
      </w:r>
      <w:r w:rsidR="002E026C">
        <w:rPr>
          <w:rFonts w:eastAsia="Times New Roman"/>
          <w:bdr w:val="none" w:sz="0" w:space="0" w:color="auto"/>
        </w:rPr>
        <w:t xml:space="preserve">There is no specific sector reserved for analysis and operations regarding the misuse of genetic technology. One of the most important steps to take in being the first nation to protect our genome sequencing technology is by investing in research and development. This comes in the form of creating jobs and assigning command positions such as: </w:t>
      </w:r>
    </w:p>
    <w:p w14:paraId="7DF17F04" w14:textId="0AB839C4" w:rsidR="001574AF" w:rsidRDefault="001574AF" w:rsidP="004F5B9B">
      <w:pPr>
        <w:pStyle w:val="ListParagraph"/>
        <w:numPr>
          <w:ilvl w:val="0"/>
          <w:numId w:val="6"/>
        </w:numPr>
        <w:spacing w:line="480" w:lineRule="auto"/>
        <w:rPr>
          <w:rFonts w:eastAsia="Times New Roman"/>
          <w:bdr w:val="none" w:sz="0" w:space="0" w:color="auto"/>
        </w:rPr>
      </w:pPr>
      <w:r>
        <w:rPr>
          <w:rFonts w:eastAsia="Times New Roman"/>
          <w:bdr w:val="none" w:sz="0" w:space="0" w:color="auto"/>
        </w:rPr>
        <w:t>Biotechnology Intelligence Analyst</w:t>
      </w:r>
      <w:r w:rsidR="00B71C63">
        <w:rPr>
          <w:rFonts w:eastAsia="Times New Roman"/>
          <w:bdr w:val="none" w:sz="0" w:space="0" w:color="auto"/>
        </w:rPr>
        <w:t>; tasked with monitoring and looking for patterns of engagement between state and non-state actors with genome sequencing companies.</w:t>
      </w:r>
    </w:p>
    <w:p w14:paraId="65AFCE13" w14:textId="597377F8" w:rsidR="001574AF" w:rsidRDefault="00745ADA" w:rsidP="004F5B9B">
      <w:pPr>
        <w:pStyle w:val="ListParagraph"/>
        <w:numPr>
          <w:ilvl w:val="0"/>
          <w:numId w:val="6"/>
        </w:numPr>
        <w:spacing w:line="480" w:lineRule="auto"/>
        <w:rPr>
          <w:rFonts w:eastAsia="Times New Roman"/>
          <w:bdr w:val="none" w:sz="0" w:space="0" w:color="auto"/>
        </w:rPr>
      </w:pPr>
      <w:r>
        <w:rPr>
          <w:rFonts w:eastAsia="Times New Roman"/>
          <w:bdr w:val="none" w:sz="0" w:space="0" w:color="auto"/>
        </w:rPr>
        <w:t>Biotechnol</w:t>
      </w:r>
      <w:r w:rsidR="00B71C63">
        <w:rPr>
          <w:rFonts w:eastAsia="Times New Roman"/>
          <w:bdr w:val="none" w:sz="0" w:space="0" w:color="auto"/>
        </w:rPr>
        <w:t>ogy Counterintelligence Analyst; tasked with aiding private and public research la</w:t>
      </w:r>
      <w:r w:rsidR="00812D95">
        <w:rPr>
          <w:rFonts w:eastAsia="Times New Roman"/>
          <w:bdr w:val="none" w:sz="0" w:space="0" w:color="auto"/>
        </w:rPr>
        <w:t xml:space="preserve">boratories in keeping their information safe and reducing threats nationally. </w:t>
      </w:r>
    </w:p>
    <w:p w14:paraId="484E733A" w14:textId="2168B00B" w:rsidR="00DB712C" w:rsidRPr="00D15894" w:rsidRDefault="00D15894" w:rsidP="00D15894">
      <w:pPr>
        <w:spacing w:line="480" w:lineRule="auto"/>
        <w:rPr>
          <w:rFonts w:eastAsia="Times New Roman"/>
          <w:bdr w:val="none" w:sz="0" w:space="0" w:color="auto"/>
        </w:rPr>
      </w:pPr>
      <w:r>
        <w:rPr>
          <w:rFonts w:eastAsia="Times New Roman"/>
          <w:bdr w:val="none" w:sz="0" w:space="0" w:color="auto"/>
        </w:rPr>
        <w:t xml:space="preserve">The creation of these analyst jobs </w:t>
      </w:r>
      <w:r w:rsidR="00BD0BED">
        <w:rPr>
          <w:rFonts w:eastAsia="Times New Roman"/>
          <w:bdr w:val="none" w:sz="0" w:space="0" w:color="auto"/>
        </w:rPr>
        <w:t xml:space="preserve">incentivizes research and development in the field. It would be prudent to withhold from creating positions such as “operations officers” and </w:t>
      </w:r>
      <w:r w:rsidR="00DB712C">
        <w:rPr>
          <w:rFonts w:eastAsia="Times New Roman"/>
          <w:bdr w:val="none" w:sz="0" w:space="0" w:color="auto"/>
        </w:rPr>
        <w:t xml:space="preserve">‘special agents” because there have been no known offensive actions to have taken place using this kind of technology. As of right now it would be the priority of the United States to work on developing the infrastructure, funding and jobs for the biological cyber technology field. This is why the National Center for Medical Intelligence is the perfect way to start. </w:t>
      </w:r>
    </w:p>
    <w:p w14:paraId="53266F2A" w14:textId="6D1128F6" w:rsidR="004E3EAD" w:rsidRDefault="004F5B9B" w:rsidP="00407D11">
      <w:pPr>
        <w:pStyle w:val="Default"/>
        <w:tabs>
          <w:tab w:val="left" w:pos="220"/>
          <w:tab w:val="left" w:pos="720"/>
        </w:tabs>
        <w:rPr>
          <w:rFonts w:ascii="Times New Roman" w:hAnsi="Times New Roman"/>
          <w:b/>
          <w:color w:val="323232"/>
          <w:sz w:val="24"/>
          <w:szCs w:val="24"/>
        </w:rPr>
      </w:pPr>
      <w:r w:rsidRPr="00431CA8">
        <w:rPr>
          <w:rFonts w:ascii="Times New Roman" w:hAnsi="Times New Roman"/>
          <w:b/>
          <w:color w:val="323232"/>
          <w:sz w:val="24"/>
          <w:szCs w:val="24"/>
        </w:rPr>
        <w:t>Policy Alternatives:</w:t>
      </w:r>
    </w:p>
    <w:p w14:paraId="59733AAB" w14:textId="05164BCA" w:rsidR="00407D11" w:rsidRPr="00DB712C" w:rsidRDefault="00DB712C" w:rsidP="00DB712C">
      <w:pPr>
        <w:pStyle w:val="Default"/>
        <w:numPr>
          <w:ilvl w:val="0"/>
          <w:numId w:val="6"/>
        </w:numPr>
        <w:tabs>
          <w:tab w:val="left" w:pos="220"/>
          <w:tab w:val="left" w:pos="720"/>
        </w:tabs>
        <w:spacing w:line="480" w:lineRule="auto"/>
        <w:rPr>
          <w:rFonts w:ascii="Times New Roman" w:hAnsi="Times New Roman"/>
          <w:b/>
          <w:color w:val="323232"/>
          <w:sz w:val="24"/>
          <w:szCs w:val="24"/>
        </w:rPr>
      </w:pPr>
      <w:r>
        <w:rPr>
          <w:rFonts w:ascii="Times New Roman" w:hAnsi="Times New Roman"/>
          <w:color w:val="323232"/>
          <w:sz w:val="24"/>
          <w:szCs w:val="24"/>
        </w:rPr>
        <w:t xml:space="preserve">Creating task forces between agencies like the National Security Agency and Defense Intelligence Agency to combine military intelligence and signals intelligence to create a defense system for the National Health Institute’s Human Genome Project, the largest genome sequencing project in the world. </w:t>
      </w:r>
    </w:p>
    <w:p w14:paraId="43663B4E" w14:textId="19377C71" w:rsidR="00DB712C" w:rsidRPr="00E44C0E" w:rsidRDefault="00DB712C" w:rsidP="00DB712C">
      <w:pPr>
        <w:pStyle w:val="Default"/>
        <w:numPr>
          <w:ilvl w:val="0"/>
          <w:numId w:val="6"/>
        </w:numPr>
        <w:tabs>
          <w:tab w:val="left" w:pos="220"/>
          <w:tab w:val="left" w:pos="720"/>
        </w:tabs>
        <w:spacing w:line="480" w:lineRule="auto"/>
        <w:rPr>
          <w:rFonts w:ascii="Times New Roman" w:hAnsi="Times New Roman"/>
          <w:b/>
          <w:color w:val="323232"/>
          <w:sz w:val="24"/>
          <w:szCs w:val="24"/>
        </w:rPr>
      </w:pPr>
      <w:r>
        <w:rPr>
          <w:rFonts w:ascii="Times New Roman" w:hAnsi="Times New Roman"/>
          <w:color w:val="323232"/>
          <w:sz w:val="24"/>
          <w:szCs w:val="24"/>
        </w:rPr>
        <w:lastRenderedPageBreak/>
        <w:t xml:space="preserve">Working within the military industrial complex to partner with contractors in the technology and biological research field in order </w:t>
      </w:r>
      <w:r w:rsidR="00E44C0E">
        <w:rPr>
          <w:rFonts w:ascii="Times New Roman" w:hAnsi="Times New Roman"/>
          <w:color w:val="323232"/>
          <w:sz w:val="24"/>
          <w:szCs w:val="24"/>
        </w:rPr>
        <w:t xml:space="preserve">to consult and inform them of ways to protect valuable genomic information of its clients. </w:t>
      </w:r>
    </w:p>
    <w:p w14:paraId="659A00C4" w14:textId="51EFA1B0" w:rsidR="00431CA8" w:rsidRPr="00812D95" w:rsidRDefault="00E44C0E" w:rsidP="00812D95">
      <w:pPr>
        <w:pStyle w:val="Default"/>
        <w:numPr>
          <w:ilvl w:val="0"/>
          <w:numId w:val="6"/>
        </w:numPr>
        <w:tabs>
          <w:tab w:val="left" w:pos="220"/>
          <w:tab w:val="left" w:pos="720"/>
        </w:tabs>
        <w:spacing w:line="480" w:lineRule="auto"/>
        <w:rPr>
          <w:rFonts w:ascii="Times New Roman" w:hAnsi="Times New Roman"/>
          <w:b/>
          <w:color w:val="323232"/>
          <w:sz w:val="24"/>
          <w:szCs w:val="24"/>
        </w:rPr>
      </w:pPr>
      <w:r>
        <w:rPr>
          <w:rFonts w:ascii="Times New Roman" w:hAnsi="Times New Roman"/>
          <w:color w:val="323232"/>
          <w:sz w:val="24"/>
          <w:szCs w:val="24"/>
        </w:rPr>
        <w:t xml:space="preserve">Partnering with other allied countries that we share intelligence consortium with (UK, Australia; part of the FIVEYE) to combat and mitigate threats from </w:t>
      </w:r>
      <w:r w:rsidR="00B71C63">
        <w:rPr>
          <w:rFonts w:ascii="Times New Roman" w:hAnsi="Times New Roman"/>
          <w:color w:val="323232"/>
          <w:sz w:val="24"/>
          <w:szCs w:val="24"/>
        </w:rPr>
        <w:t xml:space="preserve">countries that have been developing genome sequencing programs and have a history of taking offensive action against </w:t>
      </w:r>
      <w:r w:rsidR="00812D95">
        <w:rPr>
          <w:rFonts w:ascii="Times New Roman" w:hAnsi="Times New Roman"/>
          <w:color w:val="323232"/>
          <w:sz w:val="24"/>
          <w:szCs w:val="24"/>
        </w:rPr>
        <w:t xml:space="preserve">American technology. </w:t>
      </w:r>
    </w:p>
    <w:p w14:paraId="31E9C892" w14:textId="77777777" w:rsidR="00005A0D" w:rsidRPr="00971519" w:rsidRDefault="00005A0D" w:rsidP="00005A0D">
      <w:pPr>
        <w:rPr>
          <w:b/>
        </w:rPr>
      </w:pPr>
      <w:r w:rsidRPr="00971519">
        <w:rPr>
          <w:b/>
        </w:rPr>
        <w:t>Final Conclusions:</w:t>
      </w:r>
    </w:p>
    <w:p w14:paraId="711ACDDA" w14:textId="77777777" w:rsidR="00812D95" w:rsidRDefault="00812D95" w:rsidP="00F74276">
      <w:pPr>
        <w:pStyle w:val="Default"/>
        <w:tabs>
          <w:tab w:val="left" w:pos="220"/>
          <w:tab w:val="left" w:pos="720"/>
        </w:tabs>
        <w:rPr>
          <w:rFonts w:ascii="Times New Roman" w:hAnsi="Times New Roman"/>
          <w:color w:val="323232"/>
          <w:sz w:val="24"/>
          <w:szCs w:val="24"/>
        </w:rPr>
      </w:pPr>
    </w:p>
    <w:p w14:paraId="4EE86BC2" w14:textId="2EC26221" w:rsidR="00FD095C" w:rsidRDefault="00095435" w:rsidP="00812D95">
      <w:pPr>
        <w:pStyle w:val="Default"/>
        <w:tabs>
          <w:tab w:val="left" w:pos="220"/>
          <w:tab w:val="left" w:pos="720"/>
        </w:tabs>
        <w:spacing w:line="480" w:lineRule="auto"/>
        <w:rPr>
          <w:rFonts w:ascii="Times New Roman" w:hAnsi="Times New Roman"/>
          <w:color w:val="323232"/>
          <w:sz w:val="24"/>
          <w:szCs w:val="24"/>
        </w:rPr>
      </w:pPr>
      <w:r>
        <w:rPr>
          <w:rFonts w:ascii="Times New Roman" w:hAnsi="Times New Roman"/>
          <w:color w:val="323232"/>
          <w:sz w:val="24"/>
          <w:szCs w:val="24"/>
        </w:rPr>
        <w:tab/>
      </w:r>
      <w:r w:rsidR="00FF2C15" w:rsidRPr="00FF2C15">
        <w:rPr>
          <w:rFonts w:ascii="Times New Roman" w:hAnsi="Times New Roman"/>
          <w:color w:val="323232"/>
          <w:sz w:val="24"/>
          <w:szCs w:val="24"/>
        </w:rPr>
        <w:t>C</w:t>
      </w:r>
      <w:r w:rsidR="0097428D" w:rsidRPr="00FF2C15">
        <w:rPr>
          <w:rFonts w:ascii="Times New Roman" w:hAnsi="Times New Roman"/>
          <w:color w:val="323232"/>
          <w:sz w:val="24"/>
          <w:szCs w:val="24"/>
        </w:rPr>
        <w:t>urrent</w:t>
      </w:r>
      <w:r w:rsidR="00812D95">
        <w:rPr>
          <w:rFonts w:ascii="Times New Roman" w:hAnsi="Times New Roman"/>
          <w:color w:val="323232"/>
          <w:sz w:val="24"/>
          <w:szCs w:val="24"/>
        </w:rPr>
        <w:t xml:space="preserve"> United States foreign</w:t>
      </w:r>
      <w:r w:rsidR="0097428D" w:rsidRPr="00FF2C15">
        <w:rPr>
          <w:rFonts w:ascii="Times New Roman" w:hAnsi="Times New Roman"/>
          <w:color w:val="323232"/>
          <w:sz w:val="24"/>
          <w:szCs w:val="24"/>
        </w:rPr>
        <w:t xml:space="preserve"> policy</w:t>
      </w:r>
      <w:r w:rsidR="00812D95">
        <w:rPr>
          <w:rFonts w:ascii="Times New Roman" w:hAnsi="Times New Roman"/>
          <w:color w:val="323232"/>
          <w:sz w:val="24"/>
          <w:szCs w:val="24"/>
        </w:rPr>
        <w:t xml:space="preserve"> underestimates how large, cost effective and easy it is for Biological Cyber threats to occur. As of right now, policy makers are in a period of assigning formal legislation to cybercrimes, and cyber warfare is still a topic of</w:t>
      </w:r>
      <w:r>
        <w:rPr>
          <w:rFonts w:ascii="Times New Roman" w:hAnsi="Times New Roman"/>
          <w:color w:val="323232"/>
          <w:sz w:val="24"/>
          <w:szCs w:val="24"/>
        </w:rPr>
        <w:t xml:space="preserve"> high contention</w:t>
      </w:r>
      <w:r w:rsidR="00812D95">
        <w:rPr>
          <w:rFonts w:ascii="Times New Roman" w:hAnsi="Times New Roman"/>
          <w:color w:val="323232"/>
          <w:sz w:val="24"/>
          <w:szCs w:val="24"/>
        </w:rPr>
        <w:t>.</w:t>
      </w:r>
      <w:r w:rsidR="001D7029">
        <w:rPr>
          <w:rFonts w:ascii="Times New Roman" w:hAnsi="Times New Roman"/>
          <w:color w:val="323232"/>
          <w:sz w:val="24"/>
          <w:szCs w:val="24"/>
        </w:rPr>
        <w:t xml:space="preserve"> It is understandable that research </w:t>
      </w:r>
      <w:r w:rsidR="0061645E">
        <w:rPr>
          <w:rFonts w:ascii="Times New Roman" w:hAnsi="Times New Roman"/>
          <w:color w:val="323232"/>
          <w:sz w:val="24"/>
          <w:szCs w:val="24"/>
        </w:rPr>
        <w:t>and</w:t>
      </w:r>
      <w:r w:rsidR="006350A2">
        <w:rPr>
          <w:rFonts w:ascii="Times New Roman" w:hAnsi="Times New Roman"/>
          <w:color w:val="323232"/>
          <w:sz w:val="24"/>
          <w:szCs w:val="24"/>
        </w:rPr>
        <w:t xml:space="preserve"> development in the field takes years if not decades, but this is why preventative measures need to be taken this coming fiscal year.</w:t>
      </w:r>
      <w:r>
        <w:rPr>
          <w:rFonts w:ascii="Times New Roman" w:hAnsi="Times New Roman"/>
          <w:color w:val="323232"/>
          <w:sz w:val="24"/>
          <w:szCs w:val="24"/>
        </w:rPr>
        <w:t xml:space="preserve"> A step in the right direction is</w:t>
      </w:r>
      <w:r w:rsidR="006350A2">
        <w:rPr>
          <w:rFonts w:ascii="Times New Roman" w:hAnsi="Times New Roman"/>
          <w:color w:val="323232"/>
          <w:sz w:val="24"/>
          <w:szCs w:val="24"/>
        </w:rPr>
        <w:t xml:space="preserve"> to beg</w:t>
      </w:r>
      <w:r w:rsidR="006A6761">
        <w:rPr>
          <w:rFonts w:ascii="Times New Roman" w:hAnsi="Times New Roman"/>
          <w:color w:val="323232"/>
          <w:sz w:val="24"/>
          <w:szCs w:val="24"/>
        </w:rPr>
        <w:t>in educating and promoting jobs in the field for intelligence agency professionals and members of the military</w:t>
      </w:r>
      <w:r w:rsidR="00C54F0F">
        <w:rPr>
          <w:rFonts w:ascii="Times New Roman" w:hAnsi="Times New Roman"/>
          <w:color w:val="323232"/>
          <w:sz w:val="24"/>
          <w:szCs w:val="24"/>
        </w:rPr>
        <w:t xml:space="preserve">. </w:t>
      </w:r>
      <w:r>
        <w:rPr>
          <w:rFonts w:ascii="Times New Roman" w:hAnsi="Times New Roman"/>
          <w:color w:val="323232"/>
          <w:sz w:val="24"/>
          <w:szCs w:val="24"/>
        </w:rPr>
        <w:t xml:space="preserve">Whether its hacking financial records to genetic information, the only way to move forward is to </w:t>
      </w:r>
      <w:r w:rsidR="001D7029">
        <w:rPr>
          <w:rFonts w:ascii="Times New Roman" w:hAnsi="Times New Roman"/>
          <w:color w:val="323232"/>
          <w:sz w:val="24"/>
          <w:szCs w:val="24"/>
        </w:rPr>
        <w:t xml:space="preserve">adapt to the next wave of warfare. </w:t>
      </w:r>
    </w:p>
    <w:p w14:paraId="43820ED8" w14:textId="1CE3AD6D" w:rsidR="00C51812" w:rsidRPr="003B42B4" w:rsidRDefault="00FC63FE" w:rsidP="00812D95">
      <w:pPr>
        <w:pStyle w:val="Default"/>
        <w:tabs>
          <w:tab w:val="left" w:pos="220"/>
          <w:tab w:val="left" w:pos="720"/>
        </w:tabs>
        <w:spacing w:line="480" w:lineRule="auto"/>
        <w:rPr>
          <w:rFonts w:ascii="Times New Roman" w:hAnsi="Times New Roman"/>
          <w:color w:val="323232"/>
          <w:sz w:val="24"/>
          <w:szCs w:val="24"/>
        </w:rPr>
      </w:pPr>
      <w:r>
        <w:rPr>
          <w:rFonts w:ascii="Times New Roman" w:hAnsi="Times New Roman"/>
          <w:color w:val="323232"/>
          <w:sz w:val="24"/>
          <w:szCs w:val="24"/>
        </w:rPr>
        <w:tab/>
        <w:t>While Biological Warfare may be illegal in most countries, there is no doubt that both state and non-state actors could use the large ambiguity that exists in the world of cyber-attacks and cyber warfare to launch attacks and face no repercussions from the international community. This is why as one of the leading nations in the world</w:t>
      </w:r>
      <w:r w:rsidR="003B42B4">
        <w:rPr>
          <w:rFonts w:ascii="Times New Roman" w:hAnsi="Times New Roman"/>
          <w:color w:val="323232"/>
          <w:sz w:val="24"/>
          <w:szCs w:val="24"/>
        </w:rPr>
        <w:t xml:space="preserve">, the United States </w:t>
      </w:r>
      <w:r w:rsidR="00CA15E0">
        <w:rPr>
          <w:rFonts w:ascii="Times New Roman" w:hAnsi="Times New Roman"/>
          <w:color w:val="323232"/>
          <w:sz w:val="24"/>
          <w:szCs w:val="24"/>
        </w:rPr>
        <w:t>needs to stay ahead of the curve in the field of securing genomic technology</w:t>
      </w:r>
      <w:r w:rsidR="00D24570">
        <w:rPr>
          <w:rFonts w:ascii="Times New Roman" w:hAnsi="Times New Roman"/>
          <w:color w:val="323232"/>
          <w:sz w:val="24"/>
          <w:szCs w:val="24"/>
        </w:rPr>
        <w:t xml:space="preserve"> within our nation and abroad. </w:t>
      </w:r>
      <w:r w:rsidR="00D709ED">
        <w:rPr>
          <w:rStyle w:val="FootnoteReference"/>
          <w:rFonts w:ascii="Times New Roman" w:hAnsi="Times New Roman"/>
          <w:color w:val="323232"/>
          <w:sz w:val="24"/>
          <w:szCs w:val="24"/>
        </w:rPr>
        <w:footnoteReference w:id="4"/>
      </w:r>
      <w:r w:rsidR="00095435">
        <w:rPr>
          <w:rFonts w:ascii="Times New Roman" w:hAnsi="Times New Roman"/>
          <w:color w:val="323232"/>
          <w:sz w:val="24"/>
          <w:szCs w:val="24"/>
        </w:rPr>
        <w:tab/>
      </w:r>
      <w:r w:rsidR="00FF2C15">
        <w:rPr>
          <w:rFonts w:ascii="Times New Roman" w:hAnsi="Times New Roman"/>
          <w:color w:val="323232"/>
          <w:sz w:val="24"/>
          <w:szCs w:val="24"/>
        </w:rPr>
        <w:t xml:space="preserve"> </w:t>
      </w:r>
    </w:p>
    <w:p w14:paraId="384EFC86" w14:textId="77777777" w:rsidR="00BF732D" w:rsidRDefault="00FC7884" w:rsidP="00BF732D">
      <w:pPr>
        <w:pStyle w:val="Body"/>
        <w:jc w:val="center"/>
        <w:rPr>
          <w:rFonts w:ascii="Times New Roman" w:hAnsi="Times New Roman" w:cs="Times New Roman"/>
          <w:sz w:val="24"/>
          <w:szCs w:val="24"/>
        </w:rPr>
      </w:pPr>
      <w:r>
        <w:br w:type="page"/>
      </w:r>
      <w:r w:rsidR="00BF732D" w:rsidRPr="004F5B9B">
        <w:rPr>
          <w:rFonts w:ascii="Times New Roman" w:hAnsi="Times New Roman" w:cs="Times New Roman"/>
          <w:sz w:val="24"/>
          <w:szCs w:val="24"/>
        </w:rPr>
        <w:lastRenderedPageBreak/>
        <w:t>References</w:t>
      </w:r>
    </w:p>
    <w:p w14:paraId="493A8383" w14:textId="77777777" w:rsidR="00BF732D" w:rsidRDefault="00BF732D" w:rsidP="00BF732D">
      <w:pPr>
        <w:pStyle w:val="Body"/>
        <w:jc w:val="center"/>
        <w:rPr>
          <w:rFonts w:ascii="Times New Roman" w:hAnsi="Times New Roman" w:cs="Times New Roman"/>
          <w:sz w:val="24"/>
          <w:szCs w:val="24"/>
        </w:rPr>
      </w:pPr>
    </w:p>
    <w:p w14:paraId="64D40278" w14:textId="77777777" w:rsidR="00BF732D" w:rsidRDefault="00BF732D" w:rsidP="00BF732D">
      <w:pPr>
        <w:pStyle w:val="Body"/>
        <w:ind w:left="720" w:hanging="720"/>
        <w:rPr>
          <w:rFonts w:ascii="Times New Roman" w:hAnsi="Times New Roman" w:cs="Times New Roman"/>
          <w:sz w:val="24"/>
          <w:szCs w:val="24"/>
        </w:rPr>
      </w:pPr>
    </w:p>
    <w:p w14:paraId="346F932E" w14:textId="77777777" w:rsidR="00BF732D" w:rsidRPr="00BF732D" w:rsidRDefault="00BF732D" w:rsidP="00BF732D">
      <w:pPr>
        <w:spacing w:line="480" w:lineRule="auto"/>
        <w:rPr>
          <w:rFonts w:eastAsia="Times New Roman"/>
        </w:rPr>
      </w:pPr>
      <w:r w:rsidRPr="00BF732D">
        <w:rPr>
          <w:rFonts w:eastAsia="Times New Roman"/>
        </w:rPr>
        <w:t>United Nations Secretary General’s Office, Chemical and Bacteriological (Biological) Weapons and the Effects of Their Possible Use (Geneva: United Nations, 1969), 40.</w:t>
      </w:r>
    </w:p>
    <w:p w14:paraId="376E2088" w14:textId="77777777" w:rsidR="00BF732D" w:rsidRPr="00BF732D" w:rsidRDefault="00BF732D" w:rsidP="00BF732D">
      <w:pPr>
        <w:pStyle w:val="Body"/>
        <w:spacing w:line="480" w:lineRule="auto"/>
        <w:ind w:left="720" w:hanging="720"/>
        <w:rPr>
          <w:rFonts w:ascii="Times New Roman" w:hAnsi="Times New Roman" w:cs="Times New Roman"/>
          <w:sz w:val="24"/>
        </w:rPr>
      </w:pPr>
      <w:r w:rsidRPr="00BF732D">
        <w:rPr>
          <w:rFonts w:ascii="Times New Roman" w:hAnsi="Times New Roman" w:cs="Times New Roman"/>
          <w:sz w:val="24"/>
        </w:rPr>
        <w:t>Wang Houqing and Xingye Zhang, eds., Science of Campaigns (Beijing: National Defense University Press, 2000).</w:t>
      </w:r>
    </w:p>
    <w:p w14:paraId="16E2CC90" w14:textId="77777777" w:rsidR="00BF732D" w:rsidRPr="00BF732D" w:rsidRDefault="00BF732D" w:rsidP="00BF732D">
      <w:pPr>
        <w:pStyle w:val="Body"/>
        <w:spacing w:line="480" w:lineRule="auto"/>
        <w:ind w:left="720" w:hanging="720"/>
        <w:rPr>
          <w:rFonts w:ascii="Times New Roman" w:eastAsia="Times New Roman" w:hAnsi="Times New Roman" w:cs="Times New Roman"/>
          <w:color w:val="333333"/>
          <w:sz w:val="24"/>
          <w:bdr w:val="none" w:sz="0" w:space="0" w:color="auto"/>
          <w:shd w:val="clear" w:color="auto" w:fill="FFFFFF"/>
        </w:rPr>
      </w:pPr>
      <w:r w:rsidRPr="00BF732D">
        <w:rPr>
          <w:rFonts w:ascii="Times New Roman" w:eastAsia="Times New Roman" w:hAnsi="Times New Roman" w:cs="Times New Roman"/>
          <w:color w:val="333333"/>
          <w:sz w:val="24"/>
          <w:bdr w:val="none" w:sz="0" w:space="0" w:color="auto"/>
          <w:shd w:val="clear" w:color="auto" w:fill="FFFFFF"/>
        </w:rPr>
        <w:t>Trump, Donald. “National Biodefense Strategy.” </w:t>
      </w:r>
      <w:r w:rsidRPr="00BF732D">
        <w:rPr>
          <w:rFonts w:ascii="Times New Roman" w:eastAsia="Times New Roman" w:hAnsi="Times New Roman" w:cs="Times New Roman"/>
          <w:i/>
          <w:iCs/>
          <w:color w:val="333333"/>
          <w:sz w:val="24"/>
          <w:bdr w:val="none" w:sz="0" w:space="0" w:color="auto"/>
        </w:rPr>
        <w:t>National Biodefense Strategy</w:t>
      </w:r>
      <w:r w:rsidRPr="00BF732D">
        <w:rPr>
          <w:rFonts w:ascii="Times New Roman" w:eastAsia="Times New Roman" w:hAnsi="Times New Roman" w:cs="Times New Roman"/>
          <w:color w:val="333333"/>
          <w:sz w:val="24"/>
          <w:bdr w:val="none" w:sz="0" w:space="0" w:color="auto"/>
          <w:shd w:val="clear" w:color="auto" w:fill="FFFFFF"/>
        </w:rPr>
        <w:t xml:space="preserve">, September 8, 2018, 14–15. </w:t>
      </w:r>
      <w:hyperlink r:id="rId8" w:history="1">
        <w:r w:rsidRPr="00BF732D">
          <w:rPr>
            <w:rStyle w:val="Hyperlink"/>
            <w:rFonts w:ascii="Times New Roman" w:eastAsia="Times New Roman" w:hAnsi="Times New Roman" w:cs="Times New Roman"/>
            <w:sz w:val="24"/>
            <w:bdr w:val="none" w:sz="0" w:space="0" w:color="auto"/>
            <w:shd w:val="clear" w:color="auto" w:fill="FFFFFF"/>
          </w:rPr>
          <w:t>https://www.whitehouse.gov/wp-content/uploads/2018/09/National-Biodefense-Strategy.pdf</w:t>
        </w:r>
      </w:hyperlink>
      <w:r w:rsidRPr="00BF732D">
        <w:rPr>
          <w:rFonts w:ascii="Times New Roman" w:eastAsia="Times New Roman" w:hAnsi="Times New Roman" w:cs="Times New Roman"/>
          <w:color w:val="333333"/>
          <w:sz w:val="24"/>
          <w:bdr w:val="none" w:sz="0" w:space="0" w:color="auto"/>
          <w:shd w:val="clear" w:color="auto" w:fill="FFFFFF"/>
        </w:rPr>
        <w:t>.</w:t>
      </w:r>
    </w:p>
    <w:p w14:paraId="15CE6AE9" w14:textId="77777777" w:rsidR="00BF732D" w:rsidRPr="00BF732D" w:rsidRDefault="00BF732D" w:rsidP="00BF732D">
      <w:pPr>
        <w:pStyle w:val="Body"/>
        <w:spacing w:line="480" w:lineRule="auto"/>
        <w:ind w:left="720" w:hanging="720"/>
        <w:rPr>
          <w:rFonts w:ascii="Times New Roman" w:eastAsia="Times New Roman" w:hAnsi="Times New Roman" w:cs="Times New Roman"/>
          <w:color w:val="222222"/>
          <w:sz w:val="24"/>
          <w:szCs w:val="20"/>
          <w:bdr w:val="none" w:sz="0" w:space="0" w:color="auto"/>
          <w:shd w:val="clear" w:color="auto" w:fill="FFFFFF"/>
        </w:rPr>
      </w:pPr>
      <w:r w:rsidRPr="00BF732D">
        <w:rPr>
          <w:rFonts w:ascii="Times New Roman" w:eastAsia="Times New Roman" w:hAnsi="Times New Roman" w:cs="Times New Roman"/>
          <w:color w:val="222222"/>
          <w:sz w:val="24"/>
          <w:szCs w:val="20"/>
          <w:bdr w:val="none" w:sz="0" w:space="0" w:color="auto"/>
          <w:shd w:val="clear" w:color="auto" w:fill="FFFFFF"/>
        </w:rPr>
        <w:t>Moore, Melinda, Eric Landree, Alison K. Hottes, and Shoshana R. Shelton, Environmental Biodetection and Human Biosurveillance Research and Development for National Security: Priorities for the Department of Homeland Security Science and Technology Directorate. Homeland Security Operational Analysis Center operated by the RAND Corporation, 2018. https://www.rand.org/pubs/research_reports/RR2398.html. Also available in print form.</w:t>
      </w:r>
    </w:p>
    <w:p w14:paraId="2AE821C5" w14:textId="77777777" w:rsidR="00BF732D" w:rsidRDefault="00BF732D" w:rsidP="00BF732D">
      <w:pPr>
        <w:pStyle w:val="Body"/>
        <w:spacing w:line="480" w:lineRule="auto"/>
        <w:ind w:left="720" w:hanging="720"/>
        <w:rPr>
          <w:rFonts w:ascii="Times New Roman" w:eastAsia="Times New Roman" w:hAnsi="Times New Roman" w:cs="Times New Roman"/>
          <w:sz w:val="24"/>
        </w:rPr>
      </w:pPr>
      <w:r w:rsidRPr="00BF732D">
        <w:rPr>
          <w:rStyle w:val="hlfld-contribauthor"/>
          <w:rFonts w:ascii="Times New Roman" w:eastAsia="Times New Roman" w:hAnsi="Times New Roman" w:cs="Times New Roman"/>
          <w:sz w:val="24"/>
        </w:rPr>
        <w:t>Simone Dossi</w:t>
      </w:r>
      <w:r w:rsidRPr="00BF732D">
        <w:rPr>
          <w:rFonts w:ascii="Times New Roman" w:eastAsia="Times New Roman" w:hAnsi="Times New Roman" w:cs="Times New Roman"/>
          <w:sz w:val="24"/>
        </w:rPr>
        <w:t>. 2018. Confronting China’s Cyberwarfare Capabilities: A “Weapon of the Weak” or a Force Multiplier? US Foreign Policy in a Challenging World, pages 357-377.</w:t>
      </w:r>
    </w:p>
    <w:p w14:paraId="26645417" w14:textId="77777777" w:rsidR="00BF732D" w:rsidRPr="00CA0392" w:rsidRDefault="00BF732D" w:rsidP="00BF732D">
      <w:pPr>
        <w:spacing w:line="480" w:lineRule="auto"/>
        <w:rPr>
          <w:rFonts w:eastAsia="Times New Roman" w:cstheme="minorHAnsi"/>
        </w:rPr>
      </w:pPr>
      <w:r w:rsidRPr="00CA0392">
        <w:rPr>
          <w:rStyle w:val="hlfld-contribauthor"/>
          <w:rFonts w:eastAsia="Times New Roman" w:cstheme="minorHAnsi"/>
        </w:rPr>
        <w:t>Brian M. Mazanec</w:t>
      </w:r>
      <w:r w:rsidRPr="00CA0392">
        <w:rPr>
          <w:rStyle w:val="separator"/>
          <w:rFonts w:eastAsia="Times New Roman" w:cstheme="minorHAnsi"/>
        </w:rPr>
        <w:t>, </w:t>
      </w:r>
      <w:r w:rsidRPr="00CA0392">
        <w:rPr>
          <w:rStyle w:val="hlfld-contribauthor"/>
          <w:rFonts w:eastAsia="Times New Roman" w:cstheme="minorHAnsi"/>
        </w:rPr>
        <w:t>Bradley A. Thayer</w:t>
      </w:r>
      <w:r w:rsidRPr="00CA0392">
        <w:rPr>
          <w:rFonts w:eastAsia="Times New Roman" w:cstheme="minorHAnsi"/>
        </w:rPr>
        <w:t>. 2015. Cyberspace and Cyber Warfare. Deterring Cyber Warfare, pages 11-28.</w:t>
      </w:r>
    </w:p>
    <w:p w14:paraId="71FAC1CE" w14:textId="77777777" w:rsidR="00BF732D" w:rsidRPr="00590580" w:rsidRDefault="00BF732D" w:rsidP="00BF732D">
      <w:pPr>
        <w:spacing w:line="480" w:lineRule="auto"/>
        <w:rPr>
          <w:rFonts w:eastAsia="Times New Roman"/>
        </w:rPr>
      </w:pPr>
      <w:r w:rsidRPr="00590580">
        <w:rPr>
          <w:rFonts w:eastAsia="Times New Roman"/>
          <w:shd w:val="clear" w:color="auto" w:fill="FFFFFF"/>
        </w:rPr>
        <w:t>Koblentz, G. D. (2013, November 8). Viral Warfare: The Security Implications of Cyber and Bio</w:t>
      </w:r>
      <w:r>
        <w:rPr>
          <w:rFonts w:eastAsia="Times New Roman"/>
          <w:shd w:val="clear" w:color="auto" w:fill="FFFFFF"/>
        </w:rPr>
        <w:t xml:space="preserve">logical Weapons. Retrieved from </w:t>
      </w:r>
      <w:r w:rsidRPr="00590580">
        <w:rPr>
          <w:rFonts w:eastAsia="Times New Roman"/>
          <w:shd w:val="clear" w:color="auto" w:fill="FFFFFF"/>
        </w:rPr>
        <w:t>https://www.tandfonline.com/doi/abs/10.1080/01495933.2013.821845.</w:t>
      </w:r>
    </w:p>
    <w:p w14:paraId="4D4EAD98" w14:textId="77777777" w:rsidR="00FC7884" w:rsidRDefault="00FC7884">
      <w:pPr>
        <w:rPr>
          <w:rFonts w:eastAsia="Helvetica"/>
          <w:color w:val="000000"/>
        </w:rPr>
      </w:pPr>
    </w:p>
    <w:p w14:paraId="7A085282" w14:textId="77777777" w:rsidR="00BF732D" w:rsidRPr="00BF732D" w:rsidRDefault="00BF732D" w:rsidP="00BF732D">
      <w:pPr>
        <w:pStyle w:val="Body"/>
        <w:spacing w:line="480" w:lineRule="auto"/>
        <w:rPr>
          <w:rFonts w:ascii="Times New Roman" w:hAnsi="Times New Roman" w:cs="Times New Roman"/>
          <w:sz w:val="36"/>
          <w:szCs w:val="24"/>
        </w:rPr>
      </w:pPr>
    </w:p>
    <w:sectPr w:rsidR="00BF732D" w:rsidRPr="00BF732D">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76EC3" w14:textId="77777777" w:rsidR="00175C77" w:rsidRDefault="00175C77">
      <w:r>
        <w:separator/>
      </w:r>
    </w:p>
  </w:endnote>
  <w:endnote w:type="continuationSeparator" w:id="0">
    <w:p w14:paraId="7A2DA23D" w14:textId="77777777" w:rsidR="00175C77" w:rsidRDefault="0017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A756" w14:textId="77777777" w:rsidR="004E3EAD" w:rsidRDefault="004E3E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9BEC" w14:textId="77777777" w:rsidR="00175C77" w:rsidRDefault="00175C77">
      <w:r>
        <w:separator/>
      </w:r>
    </w:p>
  </w:footnote>
  <w:footnote w:type="continuationSeparator" w:id="0">
    <w:p w14:paraId="1D9EDF22" w14:textId="77777777" w:rsidR="00175C77" w:rsidRDefault="00175C77">
      <w:r>
        <w:continuationSeparator/>
      </w:r>
    </w:p>
  </w:footnote>
  <w:footnote w:id="1">
    <w:p w14:paraId="79A534E8" w14:textId="77777777" w:rsidR="00E747BF" w:rsidRPr="00D709ED" w:rsidRDefault="00E747BF" w:rsidP="00E747BF">
      <w:pPr>
        <w:rPr>
          <w:rFonts w:eastAsia="Times New Roman"/>
          <w:sz w:val="20"/>
        </w:rPr>
      </w:pPr>
      <w:r w:rsidRPr="00D709ED">
        <w:rPr>
          <w:rStyle w:val="FootnoteReference"/>
          <w:sz w:val="20"/>
        </w:rPr>
        <w:footnoteRef/>
      </w:r>
      <w:r w:rsidRPr="00D709ED">
        <w:rPr>
          <w:sz w:val="20"/>
        </w:rPr>
        <w:t xml:space="preserve"> </w:t>
      </w:r>
      <w:r w:rsidRPr="00D709ED">
        <w:rPr>
          <w:rFonts w:eastAsia="Times New Roman"/>
          <w:sz w:val="20"/>
        </w:rPr>
        <w:t>United Nations Secretary General’s Office, Chemical and Bacteriological (Biological) Weapons and the Effects of Their Possible Use (Geneva: United Nations, 1969), 40.</w:t>
      </w:r>
    </w:p>
    <w:p w14:paraId="641AB1A0" w14:textId="51EBABB4" w:rsidR="00E747BF" w:rsidRDefault="00E747BF" w:rsidP="00E747BF">
      <w:pPr>
        <w:pStyle w:val="FootnoteText"/>
      </w:pPr>
      <w:r w:rsidRPr="00D709ED">
        <w:rPr>
          <w:sz w:val="20"/>
        </w:rPr>
        <w:t>Wang Houqing and Xingye Zhang, eds., Science of Campaigns (Beijing: National Defense University Press, 2000).</w:t>
      </w:r>
    </w:p>
  </w:footnote>
  <w:footnote w:id="2">
    <w:p w14:paraId="23D4A601" w14:textId="77777777" w:rsidR="00BF732D" w:rsidRPr="00BF732D" w:rsidRDefault="00BF732D" w:rsidP="00BF732D">
      <w:pPr>
        <w:rPr>
          <w:rFonts w:eastAsia="Times New Roman"/>
          <w:sz w:val="20"/>
          <w:bdr w:val="none" w:sz="0" w:space="0" w:color="auto"/>
        </w:rPr>
      </w:pPr>
      <w:r w:rsidRPr="00BF732D">
        <w:rPr>
          <w:rStyle w:val="FootnoteReference"/>
          <w:sz w:val="20"/>
        </w:rPr>
        <w:footnoteRef/>
      </w:r>
      <w:r w:rsidRPr="00BF732D">
        <w:rPr>
          <w:sz w:val="20"/>
        </w:rPr>
        <w:t xml:space="preserve"> </w:t>
      </w:r>
      <w:r w:rsidRPr="00BF732D">
        <w:rPr>
          <w:rFonts w:eastAsia="Times New Roman"/>
          <w:color w:val="333333"/>
          <w:sz w:val="20"/>
          <w:bdr w:val="none" w:sz="0" w:space="0" w:color="auto"/>
          <w:shd w:val="clear" w:color="auto" w:fill="FFFFFF"/>
        </w:rPr>
        <w:t>Trump, Donald. “National Biodefense Strategy.” </w:t>
      </w:r>
      <w:r w:rsidRPr="00BF732D">
        <w:rPr>
          <w:rFonts w:eastAsia="Times New Roman"/>
          <w:i/>
          <w:iCs/>
          <w:color w:val="333333"/>
          <w:sz w:val="20"/>
          <w:bdr w:val="none" w:sz="0" w:space="0" w:color="auto"/>
        </w:rPr>
        <w:t>National Biodefense Strategy</w:t>
      </w:r>
      <w:r w:rsidRPr="00BF732D">
        <w:rPr>
          <w:rFonts w:eastAsia="Times New Roman"/>
          <w:color w:val="333333"/>
          <w:sz w:val="20"/>
          <w:bdr w:val="none" w:sz="0" w:space="0" w:color="auto"/>
          <w:shd w:val="clear" w:color="auto" w:fill="FFFFFF"/>
        </w:rPr>
        <w:t>, September 8, 2018, 14–15. https://www.whitehouse.gov/wp-content/uploads/2018/09/National-Biodefense-Strategy.pdf.</w:t>
      </w:r>
    </w:p>
    <w:p w14:paraId="55DF3B59" w14:textId="17B33F57" w:rsidR="00BF732D" w:rsidRDefault="00BF732D">
      <w:pPr>
        <w:pStyle w:val="FootnoteText"/>
      </w:pPr>
    </w:p>
  </w:footnote>
  <w:footnote w:id="3">
    <w:p w14:paraId="6877E4DF" w14:textId="77777777" w:rsidR="001E5511" w:rsidRPr="001E5511" w:rsidRDefault="001E5511" w:rsidP="001E5511">
      <w:pPr>
        <w:rPr>
          <w:rFonts w:eastAsia="Times New Roman"/>
          <w:bdr w:val="none" w:sz="0" w:space="0" w:color="auto"/>
        </w:rPr>
      </w:pPr>
      <w:r>
        <w:rPr>
          <w:rStyle w:val="FootnoteReference"/>
        </w:rPr>
        <w:footnoteRef/>
      </w:r>
      <w:r>
        <w:t xml:space="preserve"> </w:t>
      </w:r>
      <w:r w:rsidRPr="00D709ED">
        <w:rPr>
          <w:rFonts w:eastAsia="Times New Roman"/>
          <w:color w:val="222222"/>
          <w:sz w:val="20"/>
          <w:szCs w:val="20"/>
          <w:bdr w:val="none" w:sz="0" w:space="0" w:color="auto"/>
          <w:shd w:val="clear" w:color="auto" w:fill="FFFFFF"/>
        </w:rPr>
        <w:t>Moore, Melinda, Eric Landree, Alison K. Hottes, and Shoshana R. Shelton, Environmental Biodetection and Human Biosurveillance Research and Development for National Security: Priorities for the Department of Homeland Security Science and Technology Directorate. Homeland Security Operational Analysis Center operated by the RAND Corporation, 2018. https://www.rand.org/pubs/research_reports/RR2398.html. Also available in print form.</w:t>
      </w:r>
    </w:p>
    <w:p w14:paraId="28BE4E06" w14:textId="24ED1943" w:rsidR="001E5511" w:rsidRDefault="001E5511">
      <w:pPr>
        <w:pStyle w:val="FootnoteText"/>
      </w:pPr>
    </w:p>
  </w:footnote>
  <w:footnote w:id="4">
    <w:p w14:paraId="0C3639FE" w14:textId="77777777" w:rsidR="00D709ED" w:rsidRPr="00D709ED" w:rsidRDefault="00D709ED" w:rsidP="00D709ED">
      <w:pPr>
        <w:spacing w:line="360" w:lineRule="auto"/>
        <w:rPr>
          <w:rFonts w:eastAsia="Times New Roman" w:cstheme="minorHAnsi"/>
          <w:sz w:val="20"/>
        </w:rPr>
      </w:pPr>
      <w:r w:rsidRPr="00D709ED">
        <w:rPr>
          <w:rStyle w:val="FootnoteReference"/>
          <w:sz w:val="20"/>
        </w:rPr>
        <w:footnoteRef/>
      </w:r>
      <w:r w:rsidRPr="00D709ED">
        <w:rPr>
          <w:sz w:val="20"/>
        </w:rPr>
        <w:t xml:space="preserve"> </w:t>
      </w:r>
      <w:r w:rsidRPr="00D709ED">
        <w:rPr>
          <w:rStyle w:val="hlfld-contribauthor"/>
          <w:rFonts w:eastAsia="Times New Roman" w:cstheme="minorHAnsi"/>
          <w:sz w:val="20"/>
        </w:rPr>
        <w:t>Simone Dossi</w:t>
      </w:r>
      <w:r w:rsidRPr="00D709ED">
        <w:rPr>
          <w:rFonts w:eastAsia="Times New Roman" w:cstheme="minorHAnsi"/>
          <w:sz w:val="20"/>
        </w:rPr>
        <w:t>. 2018. Confronting China’s Cyberwarfare Capabilities: A “Weapon of the Weak” or a Force Multiplier? US Foreign Policy in a Challenging World, pages 357-377.</w:t>
      </w:r>
    </w:p>
    <w:p w14:paraId="6580F840" w14:textId="3B85846E" w:rsidR="00D709ED" w:rsidRDefault="00D709E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33FF" w14:textId="77777777" w:rsidR="004E3EAD" w:rsidRDefault="004E3E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81559"/>
    <w:multiLevelType w:val="hybridMultilevel"/>
    <w:tmpl w:val="2B141A04"/>
    <w:numStyleLink w:val="Bullet"/>
  </w:abstractNum>
  <w:abstractNum w:abstractNumId="1" w15:restartNumberingAfterBreak="0">
    <w:nsid w:val="2C614CA8"/>
    <w:multiLevelType w:val="hybridMultilevel"/>
    <w:tmpl w:val="2B141A04"/>
    <w:styleLink w:val="Bullet"/>
    <w:lvl w:ilvl="0" w:tplc="78BC5A28">
      <w:start w:val="1"/>
      <w:numFmt w:val="bullet"/>
      <w:lvlText w:val="*"/>
      <w:lvlJc w:val="left"/>
      <w:pPr>
        <w:tabs>
          <w:tab w:val="num" w:pos="229"/>
          <w:tab w:val="left" w:pos="720"/>
        </w:tabs>
        <w:ind w:left="949" w:hanging="949"/>
      </w:pPr>
      <w:rPr>
        <w:rFonts w:hAnsi="Arial Unicode MS"/>
        <w:caps w:val="0"/>
        <w:smallCaps w:val="0"/>
        <w:strike w:val="0"/>
        <w:dstrike w:val="0"/>
        <w:outline w:val="0"/>
        <w:emboss w:val="0"/>
        <w:imprint w:val="0"/>
        <w:spacing w:val="0"/>
        <w:w w:val="100"/>
        <w:kern w:val="0"/>
        <w:position w:val="-2"/>
        <w:highlight w:val="none"/>
        <w:vertAlign w:val="baseline"/>
      </w:rPr>
    </w:lvl>
    <w:lvl w:ilvl="1" w:tplc="33A46264">
      <w:start w:val="1"/>
      <w:numFmt w:val="bullet"/>
      <w:lvlText w:val="*"/>
      <w:lvlJc w:val="left"/>
      <w:pPr>
        <w:tabs>
          <w:tab w:val="left" w:pos="220"/>
          <w:tab w:val="num" w:pos="409"/>
          <w:tab w:val="left" w:pos="720"/>
        </w:tabs>
        <w:ind w:left="1129" w:hanging="949"/>
      </w:pPr>
      <w:rPr>
        <w:rFonts w:hAnsi="Arial Unicode MS"/>
        <w:caps w:val="0"/>
        <w:smallCaps w:val="0"/>
        <w:strike w:val="0"/>
        <w:dstrike w:val="0"/>
        <w:outline w:val="0"/>
        <w:emboss w:val="0"/>
        <w:imprint w:val="0"/>
        <w:spacing w:val="0"/>
        <w:w w:val="100"/>
        <w:kern w:val="0"/>
        <w:position w:val="-2"/>
        <w:highlight w:val="none"/>
        <w:vertAlign w:val="baseline"/>
      </w:rPr>
    </w:lvl>
    <w:lvl w:ilvl="2" w:tplc="1F2C3AE8">
      <w:start w:val="1"/>
      <w:numFmt w:val="bullet"/>
      <w:lvlText w:val="*"/>
      <w:lvlJc w:val="left"/>
      <w:pPr>
        <w:tabs>
          <w:tab w:val="left" w:pos="220"/>
          <w:tab w:val="num" w:pos="589"/>
          <w:tab w:val="left" w:pos="720"/>
        </w:tabs>
        <w:ind w:left="1309" w:hanging="949"/>
      </w:pPr>
      <w:rPr>
        <w:rFonts w:hAnsi="Arial Unicode MS"/>
        <w:caps w:val="0"/>
        <w:smallCaps w:val="0"/>
        <w:strike w:val="0"/>
        <w:dstrike w:val="0"/>
        <w:outline w:val="0"/>
        <w:emboss w:val="0"/>
        <w:imprint w:val="0"/>
        <w:spacing w:val="0"/>
        <w:w w:val="100"/>
        <w:kern w:val="0"/>
        <w:position w:val="-2"/>
        <w:highlight w:val="none"/>
        <w:vertAlign w:val="baseline"/>
      </w:rPr>
    </w:lvl>
    <w:lvl w:ilvl="3" w:tplc="2B8052FE">
      <w:start w:val="1"/>
      <w:numFmt w:val="bullet"/>
      <w:lvlText w:val="*"/>
      <w:lvlJc w:val="left"/>
      <w:pPr>
        <w:tabs>
          <w:tab w:val="left" w:pos="220"/>
          <w:tab w:val="num" w:pos="769"/>
        </w:tabs>
        <w:ind w:left="1489" w:hanging="949"/>
      </w:pPr>
      <w:rPr>
        <w:rFonts w:hAnsi="Arial Unicode MS"/>
        <w:caps w:val="0"/>
        <w:smallCaps w:val="0"/>
        <w:strike w:val="0"/>
        <w:dstrike w:val="0"/>
        <w:outline w:val="0"/>
        <w:emboss w:val="0"/>
        <w:imprint w:val="0"/>
        <w:spacing w:val="0"/>
        <w:w w:val="100"/>
        <w:kern w:val="0"/>
        <w:position w:val="-2"/>
        <w:highlight w:val="none"/>
        <w:vertAlign w:val="baseline"/>
      </w:rPr>
    </w:lvl>
    <w:lvl w:ilvl="4" w:tplc="451E11B6">
      <w:start w:val="1"/>
      <w:numFmt w:val="bullet"/>
      <w:lvlText w:val="*"/>
      <w:lvlJc w:val="left"/>
      <w:pPr>
        <w:tabs>
          <w:tab w:val="left" w:pos="220"/>
          <w:tab w:val="left" w:pos="720"/>
          <w:tab w:val="num" w:pos="949"/>
        </w:tabs>
        <w:ind w:left="1669" w:hanging="949"/>
      </w:pPr>
      <w:rPr>
        <w:rFonts w:hAnsi="Arial Unicode MS"/>
        <w:caps w:val="0"/>
        <w:smallCaps w:val="0"/>
        <w:strike w:val="0"/>
        <w:dstrike w:val="0"/>
        <w:outline w:val="0"/>
        <w:emboss w:val="0"/>
        <w:imprint w:val="0"/>
        <w:spacing w:val="0"/>
        <w:w w:val="100"/>
        <w:kern w:val="0"/>
        <w:position w:val="-2"/>
        <w:highlight w:val="none"/>
        <w:vertAlign w:val="baseline"/>
      </w:rPr>
    </w:lvl>
    <w:lvl w:ilvl="5" w:tplc="F34409FA">
      <w:start w:val="1"/>
      <w:numFmt w:val="bullet"/>
      <w:lvlText w:val="*"/>
      <w:lvlJc w:val="left"/>
      <w:pPr>
        <w:tabs>
          <w:tab w:val="left" w:pos="220"/>
          <w:tab w:val="left" w:pos="720"/>
          <w:tab w:val="num" w:pos="1129"/>
        </w:tabs>
        <w:ind w:left="1849" w:hanging="949"/>
      </w:pPr>
      <w:rPr>
        <w:rFonts w:hAnsi="Arial Unicode MS"/>
        <w:caps w:val="0"/>
        <w:smallCaps w:val="0"/>
        <w:strike w:val="0"/>
        <w:dstrike w:val="0"/>
        <w:outline w:val="0"/>
        <w:emboss w:val="0"/>
        <w:imprint w:val="0"/>
        <w:spacing w:val="0"/>
        <w:w w:val="100"/>
        <w:kern w:val="0"/>
        <w:position w:val="-2"/>
        <w:highlight w:val="none"/>
        <w:vertAlign w:val="baseline"/>
      </w:rPr>
    </w:lvl>
    <w:lvl w:ilvl="6" w:tplc="1C8EF55E">
      <w:start w:val="1"/>
      <w:numFmt w:val="bullet"/>
      <w:lvlText w:val="*"/>
      <w:lvlJc w:val="left"/>
      <w:pPr>
        <w:tabs>
          <w:tab w:val="left" w:pos="220"/>
          <w:tab w:val="left" w:pos="720"/>
          <w:tab w:val="num" w:pos="1309"/>
        </w:tabs>
        <w:ind w:left="2029" w:hanging="949"/>
      </w:pPr>
      <w:rPr>
        <w:rFonts w:hAnsi="Arial Unicode MS"/>
        <w:caps w:val="0"/>
        <w:smallCaps w:val="0"/>
        <w:strike w:val="0"/>
        <w:dstrike w:val="0"/>
        <w:outline w:val="0"/>
        <w:emboss w:val="0"/>
        <w:imprint w:val="0"/>
        <w:spacing w:val="0"/>
        <w:w w:val="100"/>
        <w:kern w:val="0"/>
        <w:position w:val="-2"/>
        <w:highlight w:val="none"/>
        <w:vertAlign w:val="baseline"/>
      </w:rPr>
    </w:lvl>
    <w:lvl w:ilvl="7" w:tplc="CC207742">
      <w:start w:val="1"/>
      <w:numFmt w:val="bullet"/>
      <w:lvlText w:val="*"/>
      <w:lvlJc w:val="left"/>
      <w:pPr>
        <w:tabs>
          <w:tab w:val="left" w:pos="220"/>
          <w:tab w:val="left" w:pos="720"/>
          <w:tab w:val="num" w:pos="1489"/>
        </w:tabs>
        <w:ind w:left="2209" w:hanging="949"/>
      </w:pPr>
      <w:rPr>
        <w:rFonts w:hAnsi="Arial Unicode MS"/>
        <w:caps w:val="0"/>
        <w:smallCaps w:val="0"/>
        <w:strike w:val="0"/>
        <w:dstrike w:val="0"/>
        <w:outline w:val="0"/>
        <w:emboss w:val="0"/>
        <w:imprint w:val="0"/>
        <w:spacing w:val="0"/>
        <w:w w:val="100"/>
        <w:kern w:val="0"/>
        <w:position w:val="-2"/>
        <w:highlight w:val="none"/>
        <w:vertAlign w:val="baseline"/>
      </w:rPr>
    </w:lvl>
    <w:lvl w:ilvl="8" w:tplc="89A2A3B4">
      <w:start w:val="1"/>
      <w:numFmt w:val="bullet"/>
      <w:lvlText w:val="*"/>
      <w:lvlJc w:val="left"/>
      <w:pPr>
        <w:tabs>
          <w:tab w:val="left" w:pos="220"/>
          <w:tab w:val="left" w:pos="720"/>
          <w:tab w:val="num" w:pos="1669"/>
        </w:tabs>
        <w:ind w:left="2389" w:hanging="94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3DB63D8F"/>
    <w:multiLevelType w:val="hybridMultilevel"/>
    <w:tmpl w:val="DEB68FDE"/>
    <w:lvl w:ilvl="0" w:tplc="3A7C37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561DCF"/>
    <w:multiLevelType w:val="multilevel"/>
    <w:tmpl w:val="8E1C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A7507"/>
    <w:multiLevelType w:val="multilevel"/>
    <w:tmpl w:val="CDFE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936AC8"/>
    <w:multiLevelType w:val="hybridMultilevel"/>
    <w:tmpl w:val="6D76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972366">
    <w:abstractNumId w:val="1"/>
  </w:num>
  <w:num w:numId="2" w16cid:durableId="1439637033">
    <w:abstractNumId w:val="0"/>
  </w:num>
  <w:num w:numId="3" w16cid:durableId="388698917">
    <w:abstractNumId w:val="5"/>
  </w:num>
  <w:num w:numId="4" w16cid:durableId="1158956712">
    <w:abstractNumId w:val="4"/>
  </w:num>
  <w:num w:numId="5" w16cid:durableId="20859735">
    <w:abstractNumId w:val="3"/>
  </w:num>
  <w:num w:numId="6" w16cid:durableId="1342777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EAD"/>
    <w:rsid w:val="00005A0D"/>
    <w:rsid w:val="00017B28"/>
    <w:rsid w:val="00025105"/>
    <w:rsid w:val="000602C4"/>
    <w:rsid w:val="00095435"/>
    <w:rsid w:val="00131F69"/>
    <w:rsid w:val="001574AF"/>
    <w:rsid w:val="001627C7"/>
    <w:rsid w:val="00175C77"/>
    <w:rsid w:val="00175E93"/>
    <w:rsid w:val="001D7029"/>
    <w:rsid w:val="001E2FF3"/>
    <w:rsid w:val="001E3892"/>
    <w:rsid w:val="001E4C79"/>
    <w:rsid w:val="001E5511"/>
    <w:rsid w:val="001F4D52"/>
    <w:rsid w:val="001F5E2D"/>
    <w:rsid w:val="002265EB"/>
    <w:rsid w:val="00230061"/>
    <w:rsid w:val="0025039D"/>
    <w:rsid w:val="002747B8"/>
    <w:rsid w:val="00293D50"/>
    <w:rsid w:val="002B6176"/>
    <w:rsid w:val="002D4D26"/>
    <w:rsid w:val="002E026C"/>
    <w:rsid w:val="002E550D"/>
    <w:rsid w:val="00306FDD"/>
    <w:rsid w:val="00322352"/>
    <w:rsid w:val="00330CCC"/>
    <w:rsid w:val="003550A3"/>
    <w:rsid w:val="00357887"/>
    <w:rsid w:val="00380367"/>
    <w:rsid w:val="003B42B4"/>
    <w:rsid w:val="00404B2E"/>
    <w:rsid w:val="00405CAF"/>
    <w:rsid w:val="00407D11"/>
    <w:rsid w:val="00427F09"/>
    <w:rsid w:val="00431CA8"/>
    <w:rsid w:val="004366CE"/>
    <w:rsid w:val="004711AA"/>
    <w:rsid w:val="004B4F41"/>
    <w:rsid w:val="004E3EAD"/>
    <w:rsid w:val="004F5B9B"/>
    <w:rsid w:val="00504212"/>
    <w:rsid w:val="00550FA3"/>
    <w:rsid w:val="00555627"/>
    <w:rsid w:val="00562314"/>
    <w:rsid w:val="005749D1"/>
    <w:rsid w:val="005D1637"/>
    <w:rsid w:val="005D6D14"/>
    <w:rsid w:val="0061645E"/>
    <w:rsid w:val="0061647E"/>
    <w:rsid w:val="006350A2"/>
    <w:rsid w:val="006460E0"/>
    <w:rsid w:val="006530F5"/>
    <w:rsid w:val="006579A0"/>
    <w:rsid w:val="006834C1"/>
    <w:rsid w:val="00690FDB"/>
    <w:rsid w:val="006A6761"/>
    <w:rsid w:val="00713E5E"/>
    <w:rsid w:val="00742CAD"/>
    <w:rsid w:val="00745ACB"/>
    <w:rsid w:val="00745ADA"/>
    <w:rsid w:val="0075346C"/>
    <w:rsid w:val="00755384"/>
    <w:rsid w:val="00761337"/>
    <w:rsid w:val="00775320"/>
    <w:rsid w:val="007F3931"/>
    <w:rsid w:val="00812D95"/>
    <w:rsid w:val="00831A52"/>
    <w:rsid w:val="0086235A"/>
    <w:rsid w:val="008A3DAF"/>
    <w:rsid w:val="008B4430"/>
    <w:rsid w:val="00917132"/>
    <w:rsid w:val="00947293"/>
    <w:rsid w:val="0097428D"/>
    <w:rsid w:val="0097489B"/>
    <w:rsid w:val="009A1EB4"/>
    <w:rsid w:val="009C21FC"/>
    <w:rsid w:val="009D17B4"/>
    <w:rsid w:val="009F11D8"/>
    <w:rsid w:val="00A050FF"/>
    <w:rsid w:val="00A17DB9"/>
    <w:rsid w:val="00A244D1"/>
    <w:rsid w:val="00A3530C"/>
    <w:rsid w:val="00A42C84"/>
    <w:rsid w:val="00A57BA1"/>
    <w:rsid w:val="00A66F28"/>
    <w:rsid w:val="00AD4B78"/>
    <w:rsid w:val="00B0742D"/>
    <w:rsid w:val="00B5133F"/>
    <w:rsid w:val="00B61876"/>
    <w:rsid w:val="00B7181A"/>
    <w:rsid w:val="00B71C63"/>
    <w:rsid w:val="00B80ADB"/>
    <w:rsid w:val="00BD084F"/>
    <w:rsid w:val="00BD0BED"/>
    <w:rsid w:val="00BD4EE0"/>
    <w:rsid w:val="00BD7329"/>
    <w:rsid w:val="00BD7C7A"/>
    <w:rsid w:val="00BF732D"/>
    <w:rsid w:val="00C10DE4"/>
    <w:rsid w:val="00C20EC9"/>
    <w:rsid w:val="00C321B6"/>
    <w:rsid w:val="00C50407"/>
    <w:rsid w:val="00C51812"/>
    <w:rsid w:val="00C52A03"/>
    <w:rsid w:val="00C54F0F"/>
    <w:rsid w:val="00CA15E0"/>
    <w:rsid w:val="00CC03C4"/>
    <w:rsid w:val="00CC094C"/>
    <w:rsid w:val="00D0433E"/>
    <w:rsid w:val="00D057D9"/>
    <w:rsid w:val="00D15894"/>
    <w:rsid w:val="00D24570"/>
    <w:rsid w:val="00D43082"/>
    <w:rsid w:val="00D709ED"/>
    <w:rsid w:val="00DB712C"/>
    <w:rsid w:val="00DE0EE8"/>
    <w:rsid w:val="00E31EF7"/>
    <w:rsid w:val="00E449D3"/>
    <w:rsid w:val="00E44C0E"/>
    <w:rsid w:val="00E559BF"/>
    <w:rsid w:val="00E747BF"/>
    <w:rsid w:val="00E80E6B"/>
    <w:rsid w:val="00E91596"/>
    <w:rsid w:val="00EB0265"/>
    <w:rsid w:val="00ED1156"/>
    <w:rsid w:val="00ED384A"/>
    <w:rsid w:val="00F04E99"/>
    <w:rsid w:val="00F2133D"/>
    <w:rsid w:val="00F243B9"/>
    <w:rsid w:val="00F6063D"/>
    <w:rsid w:val="00F74276"/>
    <w:rsid w:val="00FA2969"/>
    <w:rsid w:val="00FC0943"/>
    <w:rsid w:val="00FC63FE"/>
    <w:rsid w:val="00FC7884"/>
    <w:rsid w:val="00FD095C"/>
    <w:rsid w:val="00FF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DC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E80E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sz w:val="36"/>
      <w:szCs w:val="36"/>
      <w:bdr w:val="none" w:sz="0" w:space="0" w:color="auto"/>
    </w:rPr>
  </w:style>
  <w:style w:type="paragraph" w:styleId="Heading3">
    <w:name w:val="heading 3"/>
    <w:basedOn w:val="Normal"/>
    <w:next w:val="Normal"/>
    <w:link w:val="Heading3Char"/>
    <w:uiPriority w:val="9"/>
    <w:semiHidden/>
    <w:unhideWhenUsed/>
    <w:qFormat/>
    <w:rsid w:val="00E747BF"/>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numbering" w:customStyle="1" w:styleId="Bullet">
    <w:name w:val="Bullet"/>
    <w:pPr>
      <w:numPr>
        <w:numId w:val="1"/>
      </w:numPr>
    </w:pPr>
  </w:style>
  <w:style w:type="paragraph" w:customStyle="1" w:styleId="Body">
    <w:name w:val="Body"/>
    <w:rPr>
      <w:rFonts w:ascii="Helvetica" w:eastAsia="Helvetica" w:hAnsi="Helvetica" w:cs="Helvetica"/>
      <w:color w:val="000000"/>
      <w:sz w:val="22"/>
      <w:szCs w:val="22"/>
    </w:rPr>
  </w:style>
  <w:style w:type="paragraph" w:customStyle="1" w:styleId="p1">
    <w:name w:val="p1"/>
    <w:basedOn w:val="Normal"/>
    <w:rsid w:val="00B7181A"/>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sz w:val="18"/>
      <w:szCs w:val="18"/>
      <w:bdr w:val="none" w:sz="0" w:space="0" w:color="auto"/>
    </w:rPr>
  </w:style>
  <w:style w:type="character" w:customStyle="1" w:styleId="apple-converted-space">
    <w:name w:val="apple-converted-space"/>
    <w:basedOn w:val="DefaultParagraphFont"/>
    <w:rsid w:val="00C51812"/>
  </w:style>
  <w:style w:type="character" w:customStyle="1" w:styleId="Heading2Char">
    <w:name w:val="Heading 2 Char"/>
    <w:basedOn w:val="DefaultParagraphFont"/>
    <w:link w:val="Heading2"/>
    <w:uiPriority w:val="9"/>
    <w:rsid w:val="00E80E6B"/>
    <w:rPr>
      <w:b/>
      <w:bCs/>
      <w:sz w:val="36"/>
      <w:szCs w:val="36"/>
      <w:bdr w:val="none" w:sz="0" w:space="0" w:color="auto"/>
    </w:rPr>
  </w:style>
  <w:style w:type="paragraph" w:styleId="NormalWeb">
    <w:name w:val="Normal (Web)"/>
    <w:basedOn w:val="Normal"/>
    <w:uiPriority w:val="99"/>
    <w:semiHidden/>
    <w:unhideWhenUsed/>
    <w:rsid w:val="00E80E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character" w:styleId="Strong">
    <w:name w:val="Strong"/>
    <w:basedOn w:val="DefaultParagraphFont"/>
    <w:uiPriority w:val="22"/>
    <w:qFormat/>
    <w:rsid w:val="008A3DAF"/>
    <w:rPr>
      <w:b/>
      <w:bCs/>
    </w:rPr>
  </w:style>
  <w:style w:type="paragraph" w:styleId="ListParagraph">
    <w:name w:val="List Paragraph"/>
    <w:basedOn w:val="Normal"/>
    <w:uiPriority w:val="34"/>
    <w:qFormat/>
    <w:rsid w:val="002E026C"/>
    <w:pPr>
      <w:ind w:left="720"/>
      <w:contextualSpacing/>
    </w:pPr>
  </w:style>
  <w:style w:type="paragraph" w:styleId="FootnoteText">
    <w:name w:val="footnote text"/>
    <w:basedOn w:val="Normal"/>
    <w:link w:val="FootnoteTextChar"/>
    <w:uiPriority w:val="99"/>
    <w:unhideWhenUsed/>
    <w:rsid w:val="00E747BF"/>
  </w:style>
  <w:style w:type="character" w:customStyle="1" w:styleId="FootnoteTextChar">
    <w:name w:val="Footnote Text Char"/>
    <w:basedOn w:val="DefaultParagraphFont"/>
    <w:link w:val="FootnoteText"/>
    <w:uiPriority w:val="99"/>
    <w:rsid w:val="00E747BF"/>
    <w:rPr>
      <w:sz w:val="24"/>
      <w:szCs w:val="24"/>
    </w:rPr>
  </w:style>
  <w:style w:type="character" w:styleId="FootnoteReference">
    <w:name w:val="footnote reference"/>
    <w:basedOn w:val="DefaultParagraphFont"/>
    <w:uiPriority w:val="99"/>
    <w:unhideWhenUsed/>
    <w:rsid w:val="00E747BF"/>
    <w:rPr>
      <w:vertAlign w:val="superscript"/>
    </w:rPr>
  </w:style>
  <w:style w:type="character" w:customStyle="1" w:styleId="Heading3Char">
    <w:name w:val="Heading 3 Char"/>
    <w:basedOn w:val="DefaultParagraphFont"/>
    <w:link w:val="Heading3"/>
    <w:uiPriority w:val="5"/>
    <w:rsid w:val="00E747BF"/>
    <w:rPr>
      <w:rFonts w:asciiTheme="majorHAnsi" w:eastAsiaTheme="majorEastAsia" w:hAnsiTheme="majorHAnsi" w:cstheme="majorBidi"/>
      <w:color w:val="1F4E69" w:themeColor="accent1" w:themeShade="7F"/>
      <w:sz w:val="24"/>
      <w:szCs w:val="24"/>
    </w:rPr>
  </w:style>
  <w:style w:type="character" w:customStyle="1" w:styleId="hlfld-contribauthor">
    <w:name w:val="hlfld-contribauthor"/>
    <w:basedOn w:val="DefaultParagraphFont"/>
    <w:rsid w:val="00D709ED"/>
  </w:style>
  <w:style w:type="character" w:customStyle="1" w:styleId="separator">
    <w:name w:val="separator"/>
    <w:basedOn w:val="DefaultParagraphFont"/>
    <w:rsid w:val="00BF7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0410">
      <w:bodyDiv w:val="1"/>
      <w:marLeft w:val="0"/>
      <w:marRight w:val="0"/>
      <w:marTop w:val="0"/>
      <w:marBottom w:val="0"/>
      <w:divBdr>
        <w:top w:val="none" w:sz="0" w:space="0" w:color="auto"/>
        <w:left w:val="none" w:sz="0" w:space="0" w:color="auto"/>
        <w:bottom w:val="none" w:sz="0" w:space="0" w:color="auto"/>
        <w:right w:val="none" w:sz="0" w:space="0" w:color="auto"/>
      </w:divBdr>
    </w:div>
    <w:div w:id="622924570">
      <w:bodyDiv w:val="1"/>
      <w:marLeft w:val="0"/>
      <w:marRight w:val="0"/>
      <w:marTop w:val="0"/>
      <w:marBottom w:val="0"/>
      <w:divBdr>
        <w:top w:val="none" w:sz="0" w:space="0" w:color="auto"/>
        <w:left w:val="none" w:sz="0" w:space="0" w:color="auto"/>
        <w:bottom w:val="none" w:sz="0" w:space="0" w:color="auto"/>
        <w:right w:val="none" w:sz="0" w:space="0" w:color="auto"/>
      </w:divBdr>
    </w:div>
    <w:div w:id="663824401">
      <w:bodyDiv w:val="1"/>
      <w:marLeft w:val="0"/>
      <w:marRight w:val="0"/>
      <w:marTop w:val="0"/>
      <w:marBottom w:val="0"/>
      <w:divBdr>
        <w:top w:val="none" w:sz="0" w:space="0" w:color="auto"/>
        <w:left w:val="none" w:sz="0" w:space="0" w:color="auto"/>
        <w:bottom w:val="none" w:sz="0" w:space="0" w:color="auto"/>
        <w:right w:val="none" w:sz="0" w:space="0" w:color="auto"/>
      </w:divBdr>
    </w:div>
    <w:div w:id="762845916">
      <w:bodyDiv w:val="1"/>
      <w:marLeft w:val="0"/>
      <w:marRight w:val="0"/>
      <w:marTop w:val="0"/>
      <w:marBottom w:val="0"/>
      <w:divBdr>
        <w:top w:val="none" w:sz="0" w:space="0" w:color="auto"/>
        <w:left w:val="none" w:sz="0" w:space="0" w:color="auto"/>
        <w:bottom w:val="none" w:sz="0" w:space="0" w:color="auto"/>
        <w:right w:val="none" w:sz="0" w:space="0" w:color="auto"/>
      </w:divBdr>
    </w:div>
    <w:div w:id="816148979">
      <w:bodyDiv w:val="1"/>
      <w:marLeft w:val="0"/>
      <w:marRight w:val="0"/>
      <w:marTop w:val="0"/>
      <w:marBottom w:val="0"/>
      <w:divBdr>
        <w:top w:val="none" w:sz="0" w:space="0" w:color="auto"/>
        <w:left w:val="none" w:sz="0" w:space="0" w:color="auto"/>
        <w:bottom w:val="none" w:sz="0" w:space="0" w:color="auto"/>
        <w:right w:val="none" w:sz="0" w:space="0" w:color="auto"/>
      </w:divBdr>
    </w:div>
    <w:div w:id="1150095327">
      <w:bodyDiv w:val="1"/>
      <w:marLeft w:val="0"/>
      <w:marRight w:val="0"/>
      <w:marTop w:val="0"/>
      <w:marBottom w:val="0"/>
      <w:divBdr>
        <w:top w:val="none" w:sz="0" w:space="0" w:color="auto"/>
        <w:left w:val="none" w:sz="0" w:space="0" w:color="auto"/>
        <w:bottom w:val="none" w:sz="0" w:space="0" w:color="auto"/>
        <w:right w:val="none" w:sz="0" w:space="0" w:color="auto"/>
      </w:divBdr>
      <w:divsChild>
        <w:div w:id="620379456">
          <w:marLeft w:val="0"/>
          <w:marRight w:val="0"/>
          <w:marTop w:val="0"/>
          <w:marBottom w:val="0"/>
          <w:divBdr>
            <w:top w:val="none" w:sz="0" w:space="0" w:color="auto"/>
            <w:left w:val="none" w:sz="0" w:space="0" w:color="auto"/>
            <w:bottom w:val="none" w:sz="0" w:space="0" w:color="auto"/>
            <w:right w:val="none" w:sz="0" w:space="0" w:color="auto"/>
          </w:divBdr>
        </w:div>
        <w:div w:id="1160002906">
          <w:marLeft w:val="0"/>
          <w:marRight w:val="0"/>
          <w:marTop w:val="0"/>
          <w:marBottom w:val="0"/>
          <w:divBdr>
            <w:top w:val="none" w:sz="0" w:space="0" w:color="auto"/>
            <w:left w:val="none" w:sz="0" w:space="0" w:color="auto"/>
            <w:bottom w:val="none" w:sz="0" w:space="0" w:color="auto"/>
            <w:right w:val="none" w:sz="0" w:space="0" w:color="auto"/>
          </w:divBdr>
          <w:divsChild>
            <w:div w:id="1544176576">
              <w:marLeft w:val="0"/>
              <w:marRight w:val="0"/>
              <w:marTop w:val="0"/>
              <w:marBottom w:val="0"/>
              <w:divBdr>
                <w:top w:val="none" w:sz="0" w:space="0" w:color="auto"/>
                <w:left w:val="none" w:sz="0" w:space="0" w:color="auto"/>
                <w:bottom w:val="none" w:sz="0" w:space="0" w:color="auto"/>
                <w:right w:val="none" w:sz="0" w:space="0" w:color="auto"/>
              </w:divBdr>
              <w:divsChild>
                <w:div w:id="1847090508">
                  <w:marLeft w:val="0"/>
                  <w:marRight w:val="0"/>
                  <w:marTop w:val="0"/>
                  <w:marBottom w:val="0"/>
                  <w:divBdr>
                    <w:top w:val="none" w:sz="0" w:space="0" w:color="auto"/>
                    <w:left w:val="none" w:sz="0" w:space="0" w:color="auto"/>
                    <w:bottom w:val="none" w:sz="0" w:space="0" w:color="auto"/>
                    <w:right w:val="none" w:sz="0" w:space="0" w:color="auto"/>
                  </w:divBdr>
                  <w:divsChild>
                    <w:div w:id="1460608418">
                      <w:marLeft w:val="0"/>
                      <w:marRight w:val="0"/>
                      <w:marTop w:val="0"/>
                      <w:marBottom w:val="0"/>
                      <w:divBdr>
                        <w:top w:val="none" w:sz="0" w:space="0" w:color="auto"/>
                        <w:left w:val="none" w:sz="0" w:space="0" w:color="auto"/>
                        <w:bottom w:val="none" w:sz="0" w:space="0" w:color="auto"/>
                        <w:right w:val="none" w:sz="0" w:space="0" w:color="auto"/>
                      </w:divBdr>
                      <w:divsChild>
                        <w:div w:id="783113198">
                          <w:marLeft w:val="0"/>
                          <w:marRight w:val="0"/>
                          <w:marTop w:val="0"/>
                          <w:marBottom w:val="0"/>
                          <w:divBdr>
                            <w:top w:val="none" w:sz="0" w:space="0" w:color="auto"/>
                            <w:left w:val="none" w:sz="0" w:space="0" w:color="auto"/>
                            <w:bottom w:val="none" w:sz="0" w:space="0" w:color="auto"/>
                            <w:right w:val="none" w:sz="0" w:space="0" w:color="auto"/>
                          </w:divBdr>
                          <w:divsChild>
                            <w:div w:id="1735084505">
                              <w:marLeft w:val="0"/>
                              <w:marRight w:val="0"/>
                              <w:marTop w:val="0"/>
                              <w:marBottom w:val="0"/>
                              <w:divBdr>
                                <w:top w:val="none" w:sz="0" w:space="0" w:color="auto"/>
                                <w:left w:val="none" w:sz="0" w:space="0" w:color="auto"/>
                                <w:bottom w:val="none" w:sz="0" w:space="0" w:color="auto"/>
                                <w:right w:val="none" w:sz="0" w:space="0" w:color="auto"/>
                              </w:divBdr>
                              <w:divsChild>
                                <w:div w:id="1299334161">
                                  <w:marLeft w:val="0"/>
                                  <w:marRight w:val="0"/>
                                  <w:marTop w:val="0"/>
                                  <w:marBottom w:val="0"/>
                                  <w:divBdr>
                                    <w:top w:val="none" w:sz="0" w:space="0" w:color="auto"/>
                                    <w:left w:val="none" w:sz="0" w:space="0" w:color="auto"/>
                                    <w:bottom w:val="none" w:sz="0" w:space="0" w:color="auto"/>
                                    <w:right w:val="none" w:sz="0" w:space="0" w:color="auto"/>
                                  </w:divBdr>
                                  <w:divsChild>
                                    <w:div w:id="7418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348966">
      <w:bodyDiv w:val="1"/>
      <w:marLeft w:val="0"/>
      <w:marRight w:val="0"/>
      <w:marTop w:val="0"/>
      <w:marBottom w:val="0"/>
      <w:divBdr>
        <w:top w:val="none" w:sz="0" w:space="0" w:color="auto"/>
        <w:left w:val="none" w:sz="0" w:space="0" w:color="auto"/>
        <w:bottom w:val="none" w:sz="0" w:space="0" w:color="auto"/>
        <w:right w:val="none" w:sz="0" w:space="0" w:color="auto"/>
      </w:divBdr>
    </w:div>
    <w:div w:id="1446465318">
      <w:bodyDiv w:val="1"/>
      <w:marLeft w:val="0"/>
      <w:marRight w:val="0"/>
      <w:marTop w:val="0"/>
      <w:marBottom w:val="0"/>
      <w:divBdr>
        <w:top w:val="none" w:sz="0" w:space="0" w:color="auto"/>
        <w:left w:val="none" w:sz="0" w:space="0" w:color="auto"/>
        <w:bottom w:val="none" w:sz="0" w:space="0" w:color="auto"/>
        <w:right w:val="none" w:sz="0" w:space="0" w:color="auto"/>
      </w:divBdr>
    </w:div>
    <w:div w:id="1517621616">
      <w:bodyDiv w:val="1"/>
      <w:marLeft w:val="0"/>
      <w:marRight w:val="0"/>
      <w:marTop w:val="0"/>
      <w:marBottom w:val="0"/>
      <w:divBdr>
        <w:top w:val="none" w:sz="0" w:space="0" w:color="auto"/>
        <w:left w:val="none" w:sz="0" w:space="0" w:color="auto"/>
        <w:bottom w:val="none" w:sz="0" w:space="0" w:color="auto"/>
        <w:right w:val="none" w:sz="0" w:space="0" w:color="auto"/>
      </w:divBdr>
    </w:div>
    <w:div w:id="1635791812">
      <w:bodyDiv w:val="1"/>
      <w:marLeft w:val="0"/>
      <w:marRight w:val="0"/>
      <w:marTop w:val="0"/>
      <w:marBottom w:val="0"/>
      <w:divBdr>
        <w:top w:val="none" w:sz="0" w:space="0" w:color="auto"/>
        <w:left w:val="none" w:sz="0" w:space="0" w:color="auto"/>
        <w:bottom w:val="none" w:sz="0" w:space="0" w:color="auto"/>
        <w:right w:val="none" w:sz="0" w:space="0" w:color="auto"/>
      </w:divBdr>
    </w:div>
    <w:div w:id="1778063238">
      <w:bodyDiv w:val="1"/>
      <w:marLeft w:val="0"/>
      <w:marRight w:val="0"/>
      <w:marTop w:val="0"/>
      <w:marBottom w:val="0"/>
      <w:divBdr>
        <w:top w:val="none" w:sz="0" w:space="0" w:color="auto"/>
        <w:left w:val="none" w:sz="0" w:space="0" w:color="auto"/>
        <w:bottom w:val="none" w:sz="0" w:space="0" w:color="auto"/>
        <w:right w:val="none" w:sz="0" w:space="0" w:color="auto"/>
      </w:divBdr>
    </w:div>
    <w:div w:id="2037149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wp-content/uploads/2018/09/National-Biodefense-Strateg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430A15C-C569-D448-973E-8232BE35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Kamila Arap</cp:lastModifiedBy>
  <cp:revision>2</cp:revision>
  <dcterms:created xsi:type="dcterms:W3CDTF">2022-07-13T18:02:00Z</dcterms:created>
  <dcterms:modified xsi:type="dcterms:W3CDTF">2022-07-13T18:02:00Z</dcterms:modified>
</cp:coreProperties>
</file>